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F" w:rsidRDefault="00C32184" w:rsidP="00C32184">
      <w:pPr>
        <w:jc w:val="both"/>
        <w:rPr>
          <w:rFonts w:ascii="Times New Roman" w:hAnsi="Times New Roman" w:cs="Times New Roman"/>
          <w:b/>
          <w:bCs/>
          <w:sz w:val="24"/>
          <w:szCs w:val="22"/>
        </w:rPr>
      </w:pPr>
      <w:r>
        <w:rPr>
          <w:rFonts w:ascii="Times New Roman" w:hAnsi="Times New Roman" w:cs="Times New Roman"/>
          <w:b/>
          <w:bCs/>
          <w:sz w:val="24"/>
          <w:szCs w:val="22"/>
        </w:rPr>
        <w:t>Front</w:t>
      </w:r>
    </w:p>
    <w:p w:rsidR="00C32184" w:rsidRDefault="00C32184" w:rsidP="00C32184">
      <w:pPr>
        <w:jc w:val="both"/>
        <w:rPr>
          <w:rFonts w:ascii="Times New Roman" w:hAnsi="Times New Roman" w:cs="Times New Roman"/>
          <w:b/>
          <w:bCs/>
          <w:sz w:val="24"/>
          <w:szCs w:val="22"/>
        </w:rPr>
      </w:pPr>
      <w:r>
        <w:rPr>
          <w:rFonts w:ascii="Times New Roman" w:hAnsi="Times New Roman" w:cs="Times New Roman"/>
          <w:b/>
          <w:bCs/>
          <w:sz w:val="24"/>
          <w:szCs w:val="22"/>
        </w:rPr>
        <w:t xml:space="preserve">Eight More Regional Plans </w:t>
      </w:r>
      <w:proofErr w:type="gramStart"/>
      <w:r>
        <w:rPr>
          <w:rFonts w:ascii="Times New Roman" w:hAnsi="Times New Roman" w:cs="Times New Roman"/>
          <w:b/>
          <w:bCs/>
          <w:sz w:val="24"/>
          <w:szCs w:val="22"/>
        </w:rPr>
        <w:t>To</w:t>
      </w:r>
      <w:proofErr w:type="gramEnd"/>
      <w:r>
        <w:rPr>
          <w:rFonts w:ascii="Times New Roman" w:hAnsi="Times New Roman" w:cs="Times New Roman"/>
          <w:b/>
          <w:bCs/>
          <w:sz w:val="24"/>
          <w:szCs w:val="22"/>
        </w:rPr>
        <w:t xml:space="preserve"> Be P</w:t>
      </w:r>
      <w:r w:rsidRPr="00C32184">
        <w:rPr>
          <w:rFonts w:ascii="Times New Roman" w:hAnsi="Times New Roman" w:cs="Times New Roman"/>
          <w:b/>
          <w:bCs/>
          <w:sz w:val="24"/>
          <w:szCs w:val="22"/>
        </w:rPr>
        <w:t>repared</w:t>
      </w:r>
    </w:p>
    <w:p w:rsidR="00C32184" w:rsidRDefault="00C32184" w:rsidP="00C32184">
      <w:pPr>
        <w:jc w:val="both"/>
        <w:rPr>
          <w:rFonts w:ascii="Times New Roman" w:hAnsi="Times New Roman" w:cs="Times New Roman"/>
          <w:b/>
          <w:bCs/>
          <w:sz w:val="24"/>
          <w:szCs w:val="22"/>
        </w:rPr>
      </w:pPr>
      <w:hyperlink r:id="rId5" w:history="1">
        <w:r w:rsidRPr="00202B61">
          <w:rPr>
            <w:rStyle w:val="Hyperlink"/>
            <w:rFonts w:ascii="Times New Roman" w:hAnsi="Times New Roman" w:cs="Times New Roman"/>
            <w:b/>
            <w:bCs/>
            <w:sz w:val="24"/>
            <w:szCs w:val="22"/>
          </w:rPr>
          <w:t>https://www.bragitoff.com/wp-content/uploads/2015/12/tamil-nadu.png</w:t>
        </w:r>
      </w:hyperlink>
      <w:r>
        <w:rPr>
          <w:rFonts w:ascii="Times New Roman" w:hAnsi="Times New Roman" w:cs="Times New Roman"/>
          <w:b/>
          <w:bCs/>
          <w:sz w:val="24"/>
          <w:szCs w:val="22"/>
        </w:rPr>
        <w:t xml:space="preserve"> </w:t>
      </w:r>
    </w:p>
    <w:p w:rsidR="00C32184" w:rsidRPr="00AD2B64" w:rsidRDefault="00C32184" w:rsidP="00C32184">
      <w:pPr>
        <w:jc w:val="both"/>
        <w:rPr>
          <w:rFonts w:ascii="Times New Roman" w:hAnsi="Times New Roman" w:cs="Times New Roman"/>
          <w:sz w:val="24"/>
          <w:szCs w:val="22"/>
        </w:rPr>
      </w:pPr>
      <w:r>
        <w:rPr>
          <w:rFonts w:ascii="Times New Roman" w:hAnsi="Times New Roman" w:cs="Times New Roman"/>
          <w:b/>
          <w:bCs/>
          <w:sz w:val="24"/>
          <w:szCs w:val="22"/>
        </w:rPr>
        <w:t>Context:</w:t>
      </w:r>
      <w:r w:rsidR="00AD2B64">
        <w:rPr>
          <w:rFonts w:ascii="Times New Roman" w:hAnsi="Times New Roman" w:cs="Times New Roman"/>
          <w:b/>
          <w:bCs/>
          <w:sz w:val="24"/>
          <w:szCs w:val="22"/>
        </w:rPr>
        <w:t xml:space="preserve"> </w:t>
      </w:r>
      <w:r w:rsidR="00AD2B64">
        <w:rPr>
          <w:rFonts w:ascii="Times New Roman" w:hAnsi="Times New Roman" w:cs="Times New Roman"/>
          <w:sz w:val="24"/>
          <w:szCs w:val="22"/>
        </w:rPr>
        <w:t xml:space="preserve">The </w:t>
      </w:r>
      <w:r w:rsidRPr="00AD2B64">
        <w:rPr>
          <w:rFonts w:ascii="Times New Roman" w:hAnsi="Times New Roman" w:cs="Times New Roman"/>
          <w:sz w:val="24"/>
          <w:szCs w:val="22"/>
        </w:rPr>
        <w:t xml:space="preserve">Directorate of Town and Country Planning has floated a tender to engage consultants for preparation of </w:t>
      </w:r>
      <w:r w:rsidR="00AD2B64">
        <w:rPr>
          <w:rFonts w:ascii="Times New Roman" w:hAnsi="Times New Roman" w:cs="Times New Roman"/>
          <w:sz w:val="24"/>
          <w:szCs w:val="22"/>
        </w:rPr>
        <w:t xml:space="preserve">8 </w:t>
      </w:r>
      <w:r w:rsidRPr="00AD2B64">
        <w:rPr>
          <w:rFonts w:ascii="Times New Roman" w:hAnsi="Times New Roman" w:cs="Times New Roman"/>
          <w:sz w:val="24"/>
          <w:szCs w:val="22"/>
        </w:rPr>
        <w:t>regional plans</w:t>
      </w:r>
      <w:r w:rsidR="00AD2B64">
        <w:rPr>
          <w:rFonts w:ascii="Times New Roman" w:hAnsi="Times New Roman" w:cs="Times New Roman"/>
          <w:sz w:val="24"/>
          <w:szCs w:val="22"/>
        </w:rPr>
        <w:t xml:space="preserve"> </w:t>
      </w:r>
      <w:r w:rsidRPr="00AD2B64">
        <w:rPr>
          <w:rFonts w:ascii="Times New Roman" w:hAnsi="Times New Roman" w:cs="Times New Roman"/>
          <w:sz w:val="24"/>
          <w:szCs w:val="22"/>
        </w:rPr>
        <w:t>across Tamil Nadu</w:t>
      </w:r>
      <w:r w:rsidR="00AD2B64">
        <w:rPr>
          <w:rFonts w:ascii="Times New Roman" w:hAnsi="Times New Roman" w:cs="Times New Roman"/>
          <w:sz w:val="24"/>
          <w:szCs w:val="22"/>
        </w:rPr>
        <w:t xml:space="preserve"> </w:t>
      </w:r>
      <w:r w:rsidRPr="00AD2B64">
        <w:rPr>
          <w:rFonts w:ascii="Times New Roman" w:hAnsi="Times New Roman" w:cs="Times New Roman"/>
          <w:sz w:val="24"/>
          <w:szCs w:val="22"/>
        </w:rPr>
        <w:t>and carrying out detailed studies of the regions for infrastructure and economic, business, industrial, tourism activities</w:t>
      </w:r>
      <w:r w:rsidR="00AD2B64">
        <w:rPr>
          <w:rFonts w:ascii="Times New Roman" w:hAnsi="Times New Roman" w:cs="Times New Roman"/>
          <w:sz w:val="24"/>
          <w:szCs w:val="22"/>
        </w:rPr>
        <w:t xml:space="preserve"> </w:t>
      </w:r>
      <w:r w:rsidRPr="00AD2B64">
        <w:rPr>
          <w:rFonts w:ascii="Times New Roman" w:hAnsi="Times New Roman" w:cs="Times New Roman"/>
          <w:sz w:val="24"/>
          <w:szCs w:val="22"/>
        </w:rPr>
        <w:t>plans under the Town and Country Planning Act, 1971</w:t>
      </w:r>
      <w:r w:rsidR="00AD2B64">
        <w:rPr>
          <w:rFonts w:ascii="Times New Roman" w:hAnsi="Times New Roman" w:cs="Times New Roman"/>
          <w:sz w:val="24"/>
          <w:szCs w:val="22"/>
        </w:rPr>
        <w:t>.</w:t>
      </w:r>
    </w:p>
    <w:p w:rsidR="00C32184" w:rsidRPr="00C32184" w:rsidRDefault="00C32184" w:rsidP="00C32184">
      <w:pPr>
        <w:pStyle w:val="ListParagraph"/>
        <w:numPr>
          <w:ilvl w:val="0"/>
          <w:numId w:val="1"/>
        </w:numPr>
        <w:jc w:val="both"/>
        <w:rPr>
          <w:rFonts w:ascii="Times New Roman" w:hAnsi="Times New Roman" w:cs="Times New Roman"/>
          <w:sz w:val="24"/>
          <w:szCs w:val="22"/>
        </w:rPr>
      </w:pPr>
      <w:r w:rsidRPr="00C32184">
        <w:rPr>
          <w:rFonts w:ascii="Times New Roman" w:hAnsi="Times New Roman" w:cs="Times New Roman"/>
          <w:sz w:val="24"/>
          <w:szCs w:val="22"/>
        </w:rPr>
        <w:t>Eight more regions across Tamil Nadu are set to get their regional plans under the Town and Country Planning Act, 1971.</w:t>
      </w:r>
    </w:p>
    <w:p w:rsidR="00AD2B64" w:rsidRDefault="00C32184" w:rsidP="00C32184">
      <w:pPr>
        <w:pStyle w:val="ListParagraph"/>
        <w:numPr>
          <w:ilvl w:val="0"/>
          <w:numId w:val="1"/>
        </w:numPr>
        <w:jc w:val="both"/>
        <w:rPr>
          <w:rFonts w:ascii="Times New Roman" w:hAnsi="Times New Roman" w:cs="Times New Roman"/>
          <w:sz w:val="24"/>
          <w:szCs w:val="22"/>
        </w:rPr>
      </w:pPr>
      <w:r w:rsidRPr="00C32184">
        <w:rPr>
          <w:rFonts w:ascii="Times New Roman" w:hAnsi="Times New Roman" w:cs="Times New Roman"/>
          <w:sz w:val="24"/>
          <w:szCs w:val="22"/>
        </w:rPr>
        <w:t xml:space="preserve">The Directorate of Town and Country Planning has floated a tender to engage consultants for preparation of regional plans and carrying out detailed studies of the regions for infrastructure and economic, business, industrial, tourism activities. </w:t>
      </w:r>
    </w:p>
    <w:p w:rsidR="00C32184" w:rsidRPr="00C32184" w:rsidRDefault="00C32184" w:rsidP="00C32184">
      <w:pPr>
        <w:pStyle w:val="ListParagraph"/>
        <w:numPr>
          <w:ilvl w:val="0"/>
          <w:numId w:val="1"/>
        </w:numPr>
        <w:jc w:val="both"/>
        <w:rPr>
          <w:rFonts w:ascii="Times New Roman" w:hAnsi="Times New Roman" w:cs="Times New Roman"/>
          <w:sz w:val="24"/>
          <w:szCs w:val="22"/>
        </w:rPr>
      </w:pPr>
      <w:r w:rsidRPr="00C32184">
        <w:rPr>
          <w:rFonts w:ascii="Times New Roman" w:hAnsi="Times New Roman" w:cs="Times New Roman"/>
          <w:sz w:val="24"/>
          <w:szCs w:val="22"/>
        </w:rPr>
        <w:t xml:space="preserve">The horizon year of the plans for the eight regions is 2042. The plans are to be prepared for the </w:t>
      </w:r>
      <w:proofErr w:type="spellStart"/>
      <w:r w:rsidRPr="00C32184">
        <w:rPr>
          <w:rFonts w:ascii="Times New Roman" w:hAnsi="Times New Roman" w:cs="Times New Roman"/>
          <w:sz w:val="24"/>
          <w:szCs w:val="22"/>
        </w:rPr>
        <w:t>Chengalpattu</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Kancheepuram</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Tiruvallur</w:t>
      </w:r>
      <w:proofErr w:type="spellEnd"/>
      <w:r w:rsidRPr="00C32184">
        <w:rPr>
          <w:rFonts w:ascii="Times New Roman" w:hAnsi="Times New Roman" w:cs="Times New Roman"/>
          <w:sz w:val="24"/>
          <w:szCs w:val="22"/>
        </w:rPr>
        <w:t xml:space="preserve"> Regional Planning Area (RPA), measuring 6,863 sq.km; the Vellore, </w:t>
      </w:r>
      <w:proofErr w:type="spellStart"/>
      <w:r w:rsidRPr="00C32184">
        <w:rPr>
          <w:rFonts w:ascii="Times New Roman" w:hAnsi="Times New Roman" w:cs="Times New Roman"/>
          <w:sz w:val="24"/>
          <w:szCs w:val="22"/>
        </w:rPr>
        <w:t>Ranipet</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Tirupattur</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Tiruvannamalai</w:t>
      </w:r>
      <w:proofErr w:type="spellEnd"/>
      <w:r w:rsidRPr="00C32184">
        <w:rPr>
          <w:rFonts w:ascii="Times New Roman" w:hAnsi="Times New Roman" w:cs="Times New Roman"/>
          <w:sz w:val="24"/>
          <w:szCs w:val="22"/>
        </w:rPr>
        <w:t xml:space="preserve"> RPA, measuring 12,263 sq. km; the </w:t>
      </w:r>
      <w:proofErr w:type="spellStart"/>
      <w:r w:rsidRPr="00C32184">
        <w:rPr>
          <w:rFonts w:ascii="Times New Roman" w:hAnsi="Times New Roman" w:cs="Times New Roman"/>
          <w:sz w:val="24"/>
          <w:szCs w:val="22"/>
        </w:rPr>
        <w:t>Villupuram</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Cuddalore</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Kallakurichi</w:t>
      </w:r>
      <w:proofErr w:type="spellEnd"/>
      <w:r w:rsidRPr="00C32184">
        <w:rPr>
          <w:rFonts w:ascii="Times New Roman" w:hAnsi="Times New Roman" w:cs="Times New Roman"/>
          <w:sz w:val="24"/>
          <w:szCs w:val="22"/>
        </w:rPr>
        <w:t xml:space="preserve"> RPA, measuring 10,897 sq.km; the Salem, </w:t>
      </w:r>
      <w:proofErr w:type="spellStart"/>
      <w:r w:rsidRPr="00C32184">
        <w:rPr>
          <w:rFonts w:ascii="Times New Roman" w:hAnsi="Times New Roman" w:cs="Times New Roman"/>
          <w:sz w:val="24"/>
          <w:szCs w:val="22"/>
        </w:rPr>
        <w:t>Namakkal</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Krishnagiri</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Dharmapuri</w:t>
      </w:r>
      <w:proofErr w:type="spellEnd"/>
      <w:r w:rsidRPr="00C32184">
        <w:rPr>
          <w:rFonts w:ascii="Times New Roman" w:hAnsi="Times New Roman" w:cs="Times New Roman"/>
          <w:sz w:val="24"/>
          <w:szCs w:val="22"/>
        </w:rPr>
        <w:t xml:space="preserve"> RPA, measuring 18,283 sq.km; the </w:t>
      </w:r>
      <w:proofErr w:type="spellStart"/>
      <w:r w:rsidRPr="00C32184">
        <w:rPr>
          <w:rFonts w:ascii="Times New Roman" w:hAnsi="Times New Roman" w:cs="Times New Roman"/>
          <w:sz w:val="24"/>
          <w:szCs w:val="22"/>
        </w:rPr>
        <w:t>Tiruchi</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Ariyalur</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Karur</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Perambalur</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Pudukottai</w:t>
      </w:r>
      <w:proofErr w:type="spellEnd"/>
      <w:r w:rsidRPr="00C32184">
        <w:rPr>
          <w:rFonts w:ascii="Times New Roman" w:hAnsi="Times New Roman" w:cs="Times New Roman"/>
          <w:sz w:val="24"/>
          <w:szCs w:val="22"/>
        </w:rPr>
        <w:t xml:space="preserve"> RPA, measuring 15,753 sq.km; the </w:t>
      </w:r>
      <w:proofErr w:type="spellStart"/>
      <w:r w:rsidRPr="00C32184">
        <w:rPr>
          <w:rFonts w:ascii="Times New Roman" w:hAnsi="Times New Roman" w:cs="Times New Roman"/>
          <w:sz w:val="24"/>
          <w:szCs w:val="22"/>
        </w:rPr>
        <w:t>Thanjavur</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Tiruvarur</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Nagapattinam</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Mayiladuthurai</w:t>
      </w:r>
      <w:proofErr w:type="spellEnd"/>
      <w:r w:rsidRPr="00C32184">
        <w:rPr>
          <w:rFonts w:ascii="Times New Roman" w:hAnsi="Times New Roman" w:cs="Times New Roman"/>
          <w:sz w:val="24"/>
          <w:szCs w:val="22"/>
        </w:rPr>
        <w:t xml:space="preserve"> RPA, measuring 8,254 sq.km; the </w:t>
      </w:r>
      <w:proofErr w:type="spellStart"/>
      <w:r w:rsidRPr="00C32184">
        <w:rPr>
          <w:rFonts w:ascii="Times New Roman" w:hAnsi="Times New Roman" w:cs="Times New Roman"/>
          <w:sz w:val="24"/>
          <w:szCs w:val="22"/>
        </w:rPr>
        <w:t>Sivagangai</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Virudhunagar</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Ramanathapuram</w:t>
      </w:r>
      <w:proofErr w:type="spellEnd"/>
      <w:r w:rsidRPr="00C32184">
        <w:rPr>
          <w:rFonts w:ascii="Times New Roman" w:hAnsi="Times New Roman" w:cs="Times New Roman"/>
          <w:sz w:val="24"/>
          <w:szCs w:val="22"/>
        </w:rPr>
        <w:t xml:space="preserve"> RPA, measuring 12,578 sq.km; and the </w:t>
      </w:r>
      <w:proofErr w:type="spellStart"/>
      <w:r w:rsidRPr="00C32184">
        <w:rPr>
          <w:rFonts w:ascii="Times New Roman" w:hAnsi="Times New Roman" w:cs="Times New Roman"/>
          <w:sz w:val="24"/>
          <w:szCs w:val="22"/>
        </w:rPr>
        <w:t>Tirunelveli</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Thoothukudi</w:t>
      </w:r>
      <w:proofErr w:type="spellEnd"/>
      <w:r w:rsidRPr="00C32184">
        <w:rPr>
          <w:rFonts w:ascii="Times New Roman" w:hAnsi="Times New Roman" w:cs="Times New Roman"/>
          <w:sz w:val="24"/>
          <w:szCs w:val="22"/>
        </w:rPr>
        <w:t xml:space="preserve">, </w:t>
      </w:r>
      <w:proofErr w:type="spellStart"/>
      <w:r w:rsidRPr="00C32184">
        <w:rPr>
          <w:rFonts w:ascii="Times New Roman" w:hAnsi="Times New Roman" w:cs="Times New Roman"/>
          <w:sz w:val="24"/>
          <w:szCs w:val="22"/>
        </w:rPr>
        <w:t>Tenkasi</w:t>
      </w:r>
      <w:proofErr w:type="spellEnd"/>
      <w:r w:rsidRPr="00C32184">
        <w:rPr>
          <w:rFonts w:ascii="Times New Roman" w:hAnsi="Times New Roman" w:cs="Times New Roman"/>
          <w:sz w:val="24"/>
          <w:szCs w:val="22"/>
        </w:rPr>
        <w:t xml:space="preserve"> and </w:t>
      </w:r>
      <w:proofErr w:type="spellStart"/>
      <w:r w:rsidRPr="00C32184">
        <w:rPr>
          <w:rFonts w:ascii="Times New Roman" w:hAnsi="Times New Roman" w:cs="Times New Roman"/>
          <w:sz w:val="24"/>
          <w:szCs w:val="22"/>
        </w:rPr>
        <w:t>Kanniyakumari</w:t>
      </w:r>
      <w:proofErr w:type="spellEnd"/>
      <w:r w:rsidRPr="00C32184">
        <w:rPr>
          <w:rFonts w:ascii="Times New Roman" w:hAnsi="Times New Roman" w:cs="Times New Roman"/>
          <w:sz w:val="24"/>
          <w:szCs w:val="22"/>
        </w:rPr>
        <w:t xml:space="preserve"> RPA, measuring 13,122 sq.km.</w:t>
      </w:r>
    </w:p>
    <w:p w:rsidR="00C32184" w:rsidRPr="00C32184" w:rsidRDefault="00C32184" w:rsidP="00C32184">
      <w:pPr>
        <w:jc w:val="both"/>
        <w:rPr>
          <w:rFonts w:ascii="Times New Roman" w:hAnsi="Times New Roman" w:cs="Times New Roman"/>
          <w:sz w:val="24"/>
          <w:szCs w:val="22"/>
        </w:rPr>
      </w:pPr>
      <w:r w:rsidRPr="00C32184">
        <w:rPr>
          <w:rFonts w:ascii="Times New Roman" w:hAnsi="Times New Roman" w:cs="Times New Roman"/>
          <w:b/>
          <w:bCs/>
          <w:sz w:val="24"/>
          <w:szCs w:val="22"/>
        </w:rPr>
        <w:t>ADB assistance</w:t>
      </w:r>
    </w:p>
    <w:p w:rsidR="00AD2B64" w:rsidRDefault="00C32184" w:rsidP="00AD2B64">
      <w:pPr>
        <w:pStyle w:val="ListParagraph"/>
        <w:numPr>
          <w:ilvl w:val="0"/>
          <w:numId w:val="2"/>
        </w:numPr>
        <w:jc w:val="both"/>
        <w:rPr>
          <w:rFonts w:ascii="Times New Roman" w:hAnsi="Times New Roman" w:cs="Times New Roman"/>
          <w:sz w:val="24"/>
          <w:szCs w:val="22"/>
        </w:rPr>
      </w:pPr>
      <w:r w:rsidRPr="00AD2B64">
        <w:rPr>
          <w:rFonts w:ascii="Times New Roman" w:hAnsi="Times New Roman" w:cs="Times New Roman"/>
          <w:sz w:val="24"/>
          <w:szCs w:val="22"/>
        </w:rPr>
        <w:t xml:space="preserve">The regional plan for the Coimbatore RPA, comprising Coimbatore, Erode and </w:t>
      </w:r>
      <w:proofErr w:type="spellStart"/>
      <w:r w:rsidRPr="00AD2B64">
        <w:rPr>
          <w:rFonts w:ascii="Times New Roman" w:hAnsi="Times New Roman" w:cs="Times New Roman"/>
          <w:sz w:val="24"/>
          <w:szCs w:val="22"/>
        </w:rPr>
        <w:t>and</w:t>
      </w:r>
      <w:proofErr w:type="spellEnd"/>
      <w:r w:rsidRPr="00AD2B64">
        <w:rPr>
          <w:rFonts w:ascii="Times New Roman" w:hAnsi="Times New Roman" w:cs="Times New Roman"/>
          <w:sz w:val="24"/>
          <w:szCs w:val="22"/>
        </w:rPr>
        <w:t xml:space="preserve"> </w:t>
      </w:r>
      <w:proofErr w:type="spellStart"/>
      <w:r w:rsidRPr="00AD2B64">
        <w:rPr>
          <w:rFonts w:ascii="Times New Roman" w:hAnsi="Times New Roman" w:cs="Times New Roman"/>
          <w:sz w:val="24"/>
          <w:szCs w:val="22"/>
        </w:rPr>
        <w:t>Tiruppur</w:t>
      </w:r>
      <w:proofErr w:type="spellEnd"/>
      <w:r w:rsidRPr="00AD2B64">
        <w:rPr>
          <w:rFonts w:ascii="Times New Roman" w:hAnsi="Times New Roman" w:cs="Times New Roman"/>
          <w:sz w:val="24"/>
          <w:szCs w:val="22"/>
        </w:rPr>
        <w:t xml:space="preserve"> districts and measuring 15,679 sq.km, and the </w:t>
      </w:r>
      <w:proofErr w:type="spellStart"/>
      <w:r w:rsidRPr="00AD2B64">
        <w:rPr>
          <w:rFonts w:ascii="Times New Roman" w:hAnsi="Times New Roman" w:cs="Times New Roman"/>
          <w:sz w:val="24"/>
          <w:szCs w:val="22"/>
        </w:rPr>
        <w:t>Nilgiris</w:t>
      </w:r>
      <w:proofErr w:type="spellEnd"/>
      <w:r w:rsidRPr="00AD2B64">
        <w:rPr>
          <w:rFonts w:ascii="Times New Roman" w:hAnsi="Times New Roman" w:cs="Times New Roman"/>
          <w:sz w:val="24"/>
          <w:szCs w:val="22"/>
        </w:rPr>
        <w:t xml:space="preserve"> RPA, measuring 2,565 sq.km, are being prepared by the School of Architecture and Planning in Bhopal, according to officials of the Housing and Urban Development Department. </w:t>
      </w:r>
    </w:p>
    <w:p w:rsidR="00C32184" w:rsidRPr="00AD2B64" w:rsidRDefault="00C32184" w:rsidP="00AD2B64">
      <w:pPr>
        <w:pStyle w:val="ListParagraph"/>
        <w:numPr>
          <w:ilvl w:val="0"/>
          <w:numId w:val="2"/>
        </w:numPr>
        <w:jc w:val="both"/>
        <w:rPr>
          <w:rFonts w:ascii="Times New Roman" w:hAnsi="Times New Roman" w:cs="Times New Roman"/>
          <w:sz w:val="24"/>
          <w:szCs w:val="22"/>
        </w:rPr>
      </w:pPr>
      <w:r w:rsidRPr="00AD2B64">
        <w:rPr>
          <w:rFonts w:ascii="Times New Roman" w:hAnsi="Times New Roman" w:cs="Times New Roman"/>
          <w:sz w:val="24"/>
          <w:szCs w:val="22"/>
        </w:rPr>
        <w:t xml:space="preserve">The regional plan for the Madurai RPA, comprising Madurai, </w:t>
      </w:r>
      <w:proofErr w:type="spellStart"/>
      <w:r w:rsidRPr="00AD2B64">
        <w:rPr>
          <w:rFonts w:ascii="Times New Roman" w:hAnsi="Times New Roman" w:cs="Times New Roman"/>
          <w:sz w:val="24"/>
          <w:szCs w:val="22"/>
        </w:rPr>
        <w:t>Theni</w:t>
      </w:r>
      <w:proofErr w:type="spellEnd"/>
      <w:r w:rsidRPr="00AD2B64">
        <w:rPr>
          <w:rFonts w:ascii="Times New Roman" w:hAnsi="Times New Roman" w:cs="Times New Roman"/>
          <w:sz w:val="24"/>
          <w:szCs w:val="22"/>
        </w:rPr>
        <w:t xml:space="preserve"> and </w:t>
      </w:r>
      <w:proofErr w:type="spellStart"/>
      <w:r w:rsidRPr="00AD2B64">
        <w:rPr>
          <w:rFonts w:ascii="Times New Roman" w:hAnsi="Times New Roman" w:cs="Times New Roman"/>
          <w:sz w:val="24"/>
          <w:szCs w:val="22"/>
        </w:rPr>
        <w:t>Dindigul</w:t>
      </w:r>
      <w:proofErr w:type="spellEnd"/>
      <w:r w:rsidRPr="00AD2B64">
        <w:rPr>
          <w:rFonts w:ascii="Times New Roman" w:hAnsi="Times New Roman" w:cs="Times New Roman"/>
          <w:sz w:val="24"/>
          <w:szCs w:val="22"/>
        </w:rPr>
        <w:t xml:space="preserve"> districts and measuring </w:t>
      </w:r>
      <w:proofErr w:type="gramStart"/>
      <w:r w:rsidRPr="00AD2B64">
        <w:rPr>
          <w:rFonts w:ascii="Times New Roman" w:hAnsi="Times New Roman" w:cs="Times New Roman"/>
          <w:sz w:val="24"/>
          <w:szCs w:val="22"/>
        </w:rPr>
        <w:t>12,614 sq.km,</w:t>
      </w:r>
      <w:proofErr w:type="gramEnd"/>
      <w:r w:rsidRPr="00AD2B64">
        <w:rPr>
          <w:rFonts w:ascii="Times New Roman" w:hAnsi="Times New Roman" w:cs="Times New Roman"/>
          <w:sz w:val="24"/>
          <w:szCs w:val="22"/>
        </w:rPr>
        <w:t xml:space="preserve"> has been taken up with the financial assistance of the Asian Development Bank.</w:t>
      </w:r>
    </w:p>
    <w:p w:rsidR="00C32184" w:rsidRPr="00AD2B64" w:rsidRDefault="00C32184" w:rsidP="00AD2B64">
      <w:pPr>
        <w:pStyle w:val="ListParagraph"/>
        <w:numPr>
          <w:ilvl w:val="0"/>
          <w:numId w:val="2"/>
        </w:numPr>
        <w:jc w:val="both"/>
        <w:rPr>
          <w:rFonts w:ascii="Times New Roman" w:hAnsi="Times New Roman" w:cs="Times New Roman"/>
          <w:sz w:val="24"/>
          <w:szCs w:val="22"/>
        </w:rPr>
      </w:pPr>
      <w:r w:rsidRPr="00AD2B64">
        <w:rPr>
          <w:rFonts w:ascii="Times New Roman" w:hAnsi="Times New Roman" w:cs="Times New Roman"/>
          <w:sz w:val="24"/>
          <w:szCs w:val="22"/>
        </w:rPr>
        <w:t xml:space="preserve">A regional plan is a large-scale urban planning aimed at ensuring efficient use of land resources. In 1974, eight regions were created for a planned growth. Subsequently, the government decided to have 12 regions. </w:t>
      </w:r>
    </w:p>
    <w:p w:rsidR="00C32184" w:rsidRPr="00AD2B64" w:rsidRDefault="00C32184" w:rsidP="00AD2B64">
      <w:pPr>
        <w:pStyle w:val="ListParagraph"/>
        <w:numPr>
          <w:ilvl w:val="0"/>
          <w:numId w:val="2"/>
        </w:numPr>
        <w:jc w:val="both"/>
        <w:rPr>
          <w:rFonts w:ascii="Times New Roman" w:hAnsi="Times New Roman" w:cs="Times New Roman"/>
          <w:sz w:val="24"/>
          <w:szCs w:val="22"/>
        </w:rPr>
      </w:pPr>
      <w:r w:rsidRPr="00AD2B64">
        <w:rPr>
          <w:rFonts w:ascii="Times New Roman" w:hAnsi="Times New Roman" w:cs="Times New Roman"/>
          <w:sz w:val="24"/>
          <w:szCs w:val="22"/>
        </w:rPr>
        <w:t xml:space="preserve">The overall objective is to achieve sustainable development by </w:t>
      </w:r>
      <w:proofErr w:type="spellStart"/>
      <w:r w:rsidRPr="00AD2B64">
        <w:rPr>
          <w:rFonts w:ascii="Times New Roman" w:hAnsi="Times New Roman" w:cs="Times New Roman"/>
          <w:sz w:val="24"/>
          <w:szCs w:val="22"/>
        </w:rPr>
        <w:t>harmonising</w:t>
      </w:r>
      <w:proofErr w:type="spellEnd"/>
      <w:r w:rsidRPr="00AD2B64">
        <w:rPr>
          <w:rFonts w:ascii="Times New Roman" w:hAnsi="Times New Roman" w:cs="Times New Roman"/>
          <w:sz w:val="24"/>
          <w:szCs w:val="22"/>
        </w:rPr>
        <w:t xml:space="preserve"> social, economic and infrastructure needs through planning and management of land and its resources; to identify the environmental resources and sensitive zones, the development </w:t>
      </w:r>
      <w:r w:rsidRPr="00AD2B64">
        <w:rPr>
          <w:rFonts w:ascii="Times New Roman" w:hAnsi="Times New Roman" w:cs="Times New Roman"/>
          <w:sz w:val="24"/>
          <w:szCs w:val="22"/>
        </w:rPr>
        <w:lastRenderedPageBreak/>
        <w:t xml:space="preserve">needs of various parts of the region and the development potential of various sectors; and suggest a spatially balanced settlement structure for a </w:t>
      </w:r>
      <w:proofErr w:type="spellStart"/>
      <w:r w:rsidRPr="00AD2B64">
        <w:rPr>
          <w:rFonts w:ascii="Times New Roman" w:hAnsi="Times New Roman" w:cs="Times New Roman"/>
          <w:sz w:val="24"/>
          <w:szCs w:val="22"/>
        </w:rPr>
        <w:t>harmonised</w:t>
      </w:r>
      <w:proofErr w:type="spellEnd"/>
      <w:r w:rsidRPr="00AD2B64">
        <w:rPr>
          <w:rFonts w:ascii="Times New Roman" w:hAnsi="Times New Roman" w:cs="Times New Roman"/>
          <w:sz w:val="24"/>
          <w:szCs w:val="22"/>
        </w:rPr>
        <w:t xml:space="preserve"> relation between urban and rural areas.</w:t>
      </w:r>
    </w:p>
    <w:p w:rsidR="00C32184" w:rsidRPr="00AD2B64" w:rsidRDefault="00C32184" w:rsidP="00AD2B64">
      <w:pPr>
        <w:pStyle w:val="ListParagraph"/>
        <w:numPr>
          <w:ilvl w:val="0"/>
          <w:numId w:val="2"/>
        </w:numPr>
        <w:jc w:val="both"/>
        <w:rPr>
          <w:rFonts w:ascii="Times New Roman" w:hAnsi="Times New Roman" w:cs="Times New Roman"/>
          <w:sz w:val="24"/>
          <w:szCs w:val="22"/>
        </w:rPr>
      </w:pPr>
      <w:r w:rsidRPr="00AD2B64">
        <w:rPr>
          <w:rFonts w:ascii="Times New Roman" w:hAnsi="Times New Roman" w:cs="Times New Roman"/>
          <w:sz w:val="24"/>
          <w:szCs w:val="22"/>
        </w:rPr>
        <w:t xml:space="preserve">The government </w:t>
      </w:r>
      <w:r w:rsidR="00AD2B64">
        <w:rPr>
          <w:rFonts w:ascii="Times New Roman" w:hAnsi="Times New Roman" w:cs="Times New Roman"/>
          <w:sz w:val="24"/>
          <w:szCs w:val="22"/>
        </w:rPr>
        <w:t>in January</w:t>
      </w:r>
      <w:r w:rsidRPr="00AD2B64">
        <w:rPr>
          <w:rFonts w:ascii="Times New Roman" w:hAnsi="Times New Roman" w:cs="Times New Roman"/>
          <w:sz w:val="24"/>
          <w:szCs w:val="22"/>
        </w:rPr>
        <w:t xml:space="preserve"> framed the Regional Plan (Preparation, Publication and Sanction) Rules, 2021, under Section 122 of the Town and Country Planning Act, 1971.</w:t>
      </w:r>
    </w:p>
    <w:p w:rsidR="00C32184" w:rsidRPr="00C32184" w:rsidRDefault="00C32184" w:rsidP="00C32184">
      <w:pPr>
        <w:jc w:val="both"/>
        <w:rPr>
          <w:rFonts w:ascii="Times New Roman" w:hAnsi="Times New Roman" w:cs="Times New Roman"/>
          <w:sz w:val="24"/>
          <w:szCs w:val="22"/>
        </w:rPr>
      </w:pPr>
    </w:p>
    <w:p w:rsidR="00C32184" w:rsidRDefault="00AD2B64" w:rsidP="00C32184">
      <w:pPr>
        <w:jc w:val="both"/>
        <w:rPr>
          <w:rFonts w:ascii="Times New Roman" w:hAnsi="Times New Roman" w:cs="Times New Roman"/>
          <w:b/>
          <w:bCs/>
          <w:sz w:val="24"/>
          <w:szCs w:val="22"/>
        </w:rPr>
      </w:pPr>
      <w:r>
        <w:rPr>
          <w:rFonts w:ascii="Times New Roman" w:hAnsi="Times New Roman" w:cs="Times New Roman"/>
          <w:b/>
          <w:bCs/>
          <w:sz w:val="24"/>
          <w:szCs w:val="22"/>
        </w:rPr>
        <w:t>National</w:t>
      </w:r>
    </w:p>
    <w:p w:rsidR="00AD2B64" w:rsidRDefault="00AD2B64" w:rsidP="00AD2B64">
      <w:pPr>
        <w:jc w:val="both"/>
        <w:rPr>
          <w:rFonts w:ascii="Times New Roman" w:hAnsi="Times New Roman" w:cs="Times New Roman"/>
          <w:b/>
          <w:bCs/>
          <w:sz w:val="24"/>
          <w:szCs w:val="22"/>
        </w:rPr>
      </w:pPr>
      <w:r>
        <w:rPr>
          <w:rFonts w:ascii="Times New Roman" w:hAnsi="Times New Roman" w:cs="Times New Roman"/>
          <w:b/>
          <w:bCs/>
          <w:sz w:val="24"/>
          <w:szCs w:val="22"/>
        </w:rPr>
        <w:t xml:space="preserve">SC Examines Allegations </w:t>
      </w:r>
      <w:proofErr w:type="gramStart"/>
      <w:r>
        <w:rPr>
          <w:rFonts w:ascii="Times New Roman" w:hAnsi="Times New Roman" w:cs="Times New Roman"/>
          <w:b/>
          <w:bCs/>
          <w:sz w:val="24"/>
          <w:szCs w:val="22"/>
        </w:rPr>
        <w:t>Of</w:t>
      </w:r>
      <w:proofErr w:type="gramEnd"/>
      <w:r>
        <w:rPr>
          <w:rFonts w:ascii="Times New Roman" w:hAnsi="Times New Roman" w:cs="Times New Roman"/>
          <w:b/>
          <w:bCs/>
          <w:sz w:val="24"/>
          <w:szCs w:val="22"/>
        </w:rPr>
        <w:t xml:space="preserve"> Rampant Misuse O</w:t>
      </w:r>
      <w:r w:rsidRPr="00AD2B64">
        <w:rPr>
          <w:rFonts w:ascii="Times New Roman" w:hAnsi="Times New Roman" w:cs="Times New Roman"/>
          <w:b/>
          <w:bCs/>
          <w:sz w:val="24"/>
          <w:szCs w:val="22"/>
        </w:rPr>
        <w:t>f PMLA</w:t>
      </w:r>
    </w:p>
    <w:p w:rsidR="00AD2B64" w:rsidRDefault="00AD2B64" w:rsidP="00AD2B64">
      <w:pPr>
        <w:jc w:val="both"/>
        <w:rPr>
          <w:rFonts w:ascii="Times New Roman" w:hAnsi="Times New Roman" w:cs="Times New Roman"/>
          <w:b/>
          <w:bCs/>
          <w:sz w:val="24"/>
          <w:szCs w:val="22"/>
        </w:rPr>
      </w:pPr>
      <w:hyperlink r:id="rId6" w:history="1">
        <w:r w:rsidRPr="00202B61">
          <w:rPr>
            <w:rStyle w:val="Hyperlink"/>
            <w:rFonts w:ascii="Times New Roman" w:hAnsi="Times New Roman" w:cs="Times New Roman"/>
            <w:b/>
            <w:bCs/>
            <w:sz w:val="24"/>
            <w:szCs w:val="22"/>
          </w:rPr>
          <w:t>https://www.thehindu.com/todays-paper/tp-national/j8d0cj/article65047353.ece/alternates/FREE_660/TH13-KDR-SC-exa%2BGRF9GBCKM.1.jpg.jpg</w:t>
        </w:r>
      </w:hyperlink>
      <w:r>
        <w:rPr>
          <w:rFonts w:ascii="Times New Roman" w:hAnsi="Times New Roman" w:cs="Times New Roman"/>
          <w:b/>
          <w:bCs/>
          <w:sz w:val="24"/>
          <w:szCs w:val="22"/>
        </w:rPr>
        <w:t xml:space="preserve"> </w:t>
      </w:r>
    </w:p>
    <w:p w:rsidR="00AD2B64" w:rsidRPr="00AD2B64" w:rsidRDefault="00AD2B64" w:rsidP="00AD2B64">
      <w:pPr>
        <w:jc w:val="both"/>
        <w:rPr>
          <w:rFonts w:ascii="Times New Roman" w:hAnsi="Times New Roman" w:cs="Times New Roman"/>
          <w:sz w:val="24"/>
          <w:szCs w:val="22"/>
        </w:rPr>
      </w:pPr>
      <w:r>
        <w:rPr>
          <w:rFonts w:ascii="Times New Roman" w:hAnsi="Times New Roman" w:cs="Times New Roman"/>
          <w:b/>
          <w:bCs/>
          <w:sz w:val="24"/>
          <w:szCs w:val="22"/>
        </w:rPr>
        <w:t xml:space="preserve">Context: </w:t>
      </w:r>
      <w:r>
        <w:rPr>
          <w:rFonts w:ascii="Times New Roman" w:hAnsi="Times New Roman" w:cs="Times New Roman"/>
          <w:sz w:val="24"/>
          <w:szCs w:val="22"/>
        </w:rPr>
        <w:t xml:space="preserve">The </w:t>
      </w:r>
      <w:r w:rsidRPr="00AD2B64">
        <w:rPr>
          <w:rFonts w:ascii="Times New Roman" w:hAnsi="Times New Roman" w:cs="Times New Roman"/>
          <w:sz w:val="24"/>
          <w:szCs w:val="22"/>
        </w:rPr>
        <w:t>Prevention of Money Laundering Act</w:t>
      </w:r>
      <w:r>
        <w:rPr>
          <w:rFonts w:ascii="Times New Roman" w:hAnsi="Times New Roman" w:cs="Times New Roman"/>
          <w:sz w:val="24"/>
          <w:szCs w:val="22"/>
        </w:rPr>
        <w:t xml:space="preserve">, which includes extremely overboard offences, has many petitions against its alleged subversion by the </w:t>
      </w:r>
      <w:r w:rsidRPr="00AD2B64">
        <w:rPr>
          <w:rFonts w:ascii="Times New Roman" w:hAnsi="Times New Roman" w:cs="Times New Roman"/>
          <w:sz w:val="24"/>
          <w:szCs w:val="22"/>
        </w:rPr>
        <w:t>government and the Enforcement Directorate (ED)</w:t>
      </w:r>
      <w:r>
        <w:rPr>
          <w:rFonts w:ascii="Times New Roman" w:hAnsi="Times New Roman" w:cs="Times New Roman"/>
          <w:sz w:val="24"/>
          <w:szCs w:val="22"/>
        </w:rPr>
        <w:t xml:space="preserve"> and that it is </w:t>
      </w:r>
      <w:r w:rsidRPr="00AD2B64">
        <w:rPr>
          <w:rFonts w:ascii="Times New Roman" w:hAnsi="Times New Roman" w:cs="Times New Roman"/>
          <w:sz w:val="24"/>
          <w:szCs w:val="22"/>
        </w:rPr>
        <w:t>a potent weapon to raid rivals and deny rights</w:t>
      </w:r>
      <w:r>
        <w:rPr>
          <w:rFonts w:ascii="Times New Roman" w:hAnsi="Times New Roman" w:cs="Times New Roman"/>
          <w:sz w:val="24"/>
          <w:szCs w:val="22"/>
        </w:rPr>
        <w:t>.</w:t>
      </w:r>
    </w:p>
    <w:p w:rsidR="00AD2B64" w:rsidRP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The Supreme Court is looking into allegations of metamorphosis of an anti-money laundering law, brought to sniff out drug money, into a potent weapon to raid rivals and deny rights.</w:t>
      </w:r>
    </w:p>
    <w:p w:rsidR="00AD2B64" w:rsidRP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A three-judge Bench is holding back-to-back hearings on petitions filed by people from all walks of life and across the country complaining of the alleged subversion of the Prevention of Money Laundering Act (PMLA) by the government and the Enforcement Directorate (ED).</w:t>
      </w:r>
    </w:p>
    <w:p w:rsidR="00AD2B64" w:rsidRP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 xml:space="preserve">Lawyers, including senior advocate </w:t>
      </w:r>
      <w:proofErr w:type="spellStart"/>
      <w:r w:rsidRPr="00AD2B64">
        <w:rPr>
          <w:rFonts w:ascii="Times New Roman" w:hAnsi="Times New Roman" w:cs="Times New Roman"/>
          <w:sz w:val="24"/>
          <w:szCs w:val="22"/>
        </w:rPr>
        <w:t>Kapil</w:t>
      </w:r>
      <w:proofErr w:type="spellEnd"/>
      <w:r w:rsidRPr="00AD2B64">
        <w:rPr>
          <w:rFonts w:ascii="Times New Roman" w:hAnsi="Times New Roman" w:cs="Times New Roman"/>
          <w:sz w:val="24"/>
          <w:szCs w:val="22"/>
        </w:rPr>
        <w:t xml:space="preserve"> </w:t>
      </w:r>
      <w:proofErr w:type="spellStart"/>
      <w:r w:rsidRPr="00AD2B64">
        <w:rPr>
          <w:rFonts w:ascii="Times New Roman" w:hAnsi="Times New Roman" w:cs="Times New Roman"/>
          <w:sz w:val="24"/>
          <w:szCs w:val="22"/>
        </w:rPr>
        <w:t>Sibal</w:t>
      </w:r>
      <w:proofErr w:type="spellEnd"/>
      <w:r w:rsidRPr="00AD2B64">
        <w:rPr>
          <w:rFonts w:ascii="Times New Roman" w:hAnsi="Times New Roman" w:cs="Times New Roman"/>
          <w:sz w:val="24"/>
          <w:szCs w:val="22"/>
        </w:rPr>
        <w:t xml:space="preserve"> for </w:t>
      </w:r>
      <w:proofErr w:type="spellStart"/>
      <w:r w:rsidRPr="00AD2B64">
        <w:rPr>
          <w:rFonts w:ascii="Times New Roman" w:hAnsi="Times New Roman" w:cs="Times New Roman"/>
          <w:sz w:val="24"/>
          <w:szCs w:val="22"/>
        </w:rPr>
        <w:t>Karti</w:t>
      </w:r>
      <w:proofErr w:type="spellEnd"/>
      <w:r w:rsidRPr="00AD2B64">
        <w:rPr>
          <w:rFonts w:ascii="Times New Roman" w:hAnsi="Times New Roman" w:cs="Times New Roman"/>
          <w:sz w:val="24"/>
          <w:szCs w:val="22"/>
        </w:rPr>
        <w:t xml:space="preserve"> Chidambaram, allege that the PMLA is pulled into the investigation of even “ordinary” crimes.</w:t>
      </w:r>
    </w:p>
    <w:p w:rsidR="00AD2B64" w:rsidRPr="00AD2B64" w:rsidRDefault="00AD2B64" w:rsidP="00AD2B64">
      <w:pPr>
        <w:pStyle w:val="ListParagraph"/>
        <w:numPr>
          <w:ilvl w:val="0"/>
          <w:numId w:val="3"/>
        </w:numPr>
        <w:jc w:val="both"/>
        <w:rPr>
          <w:rFonts w:ascii="Times New Roman" w:hAnsi="Times New Roman" w:cs="Times New Roman"/>
          <w:sz w:val="24"/>
          <w:szCs w:val="22"/>
        </w:rPr>
      </w:pPr>
      <w:proofErr w:type="spellStart"/>
      <w:r w:rsidRPr="00AD2B64">
        <w:rPr>
          <w:rFonts w:ascii="Times New Roman" w:hAnsi="Times New Roman" w:cs="Times New Roman"/>
          <w:sz w:val="24"/>
          <w:szCs w:val="22"/>
        </w:rPr>
        <w:t>Sibal</w:t>
      </w:r>
      <w:proofErr w:type="spellEnd"/>
      <w:r w:rsidRPr="00AD2B64">
        <w:rPr>
          <w:rFonts w:ascii="Times New Roman" w:hAnsi="Times New Roman" w:cs="Times New Roman"/>
          <w:sz w:val="24"/>
          <w:szCs w:val="22"/>
        </w:rPr>
        <w:t xml:space="preserve"> reminded that the PMLA was enacted in response to India’s global commitment (including the Vienna Convention) to combat the menace of money laundering. </w:t>
      </w:r>
    </w:p>
    <w:p w:rsidR="00AD2B64" w:rsidRP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 xml:space="preserve">Petitioners pointed out that even the Enforcement Case Information Report (ECIR) — an equivalent of the FIR — is considered an “internal document” and not given to the accused. </w:t>
      </w:r>
    </w:p>
    <w:p w:rsidR="00AD2B64" w:rsidRP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Pursuant to the registration of the ECIR, the ED begins to summon accused persons and seeks details of all their financial transactions and of their family members. The accused is called upon to make statements which are treated as admissible in evidence.</w:t>
      </w:r>
    </w:p>
    <w:p w:rsid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 xml:space="preserve">The court is also examining submissions that the PMLA does not distinguish between an accused and a witness while summoning them. </w:t>
      </w:r>
    </w:p>
    <w:p w:rsidR="00AD2B64" w:rsidRPr="00AD2B64" w:rsidRDefault="00AD2B64" w:rsidP="00AD2B64">
      <w:pPr>
        <w:pStyle w:val="ListParagraph"/>
        <w:numPr>
          <w:ilvl w:val="0"/>
          <w:numId w:val="3"/>
        </w:numPr>
        <w:jc w:val="both"/>
        <w:rPr>
          <w:rFonts w:ascii="Times New Roman" w:hAnsi="Times New Roman" w:cs="Times New Roman"/>
          <w:sz w:val="24"/>
          <w:szCs w:val="22"/>
        </w:rPr>
      </w:pPr>
      <w:r w:rsidRPr="00AD2B64">
        <w:rPr>
          <w:rFonts w:ascii="Times New Roman" w:hAnsi="Times New Roman" w:cs="Times New Roman"/>
          <w:sz w:val="24"/>
          <w:szCs w:val="22"/>
        </w:rPr>
        <w:t>The petitioners noted the lack of clarity about the ED’s selection of cases to investigate. Petitioners have submitted that discretion exercised under the PMLA should be guided by rule of law. It must not be “arbitrary, vague and fanciful”.</w:t>
      </w:r>
    </w:p>
    <w:p w:rsidR="00AD2B64" w:rsidRPr="00AD2B64" w:rsidRDefault="00AD2B64" w:rsidP="00AD2B64">
      <w:pPr>
        <w:jc w:val="both"/>
        <w:rPr>
          <w:rFonts w:ascii="Times New Roman" w:hAnsi="Times New Roman" w:cs="Times New Roman"/>
          <w:sz w:val="24"/>
          <w:szCs w:val="22"/>
        </w:rPr>
      </w:pPr>
    </w:p>
    <w:p w:rsidR="00AD2B64" w:rsidRDefault="00AD2B64" w:rsidP="00C32184">
      <w:pPr>
        <w:jc w:val="both"/>
        <w:rPr>
          <w:rFonts w:ascii="Times New Roman" w:hAnsi="Times New Roman" w:cs="Times New Roman"/>
          <w:b/>
          <w:bCs/>
          <w:sz w:val="24"/>
          <w:szCs w:val="22"/>
        </w:rPr>
      </w:pPr>
      <w:r>
        <w:rPr>
          <w:rFonts w:ascii="Times New Roman" w:hAnsi="Times New Roman" w:cs="Times New Roman"/>
          <w:b/>
          <w:bCs/>
          <w:sz w:val="24"/>
          <w:szCs w:val="22"/>
        </w:rPr>
        <w:t xml:space="preserve">International </w:t>
      </w:r>
    </w:p>
    <w:p w:rsidR="00AD2B64" w:rsidRDefault="00AD2B64" w:rsidP="00AD2B64">
      <w:pPr>
        <w:jc w:val="both"/>
        <w:rPr>
          <w:rFonts w:ascii="Times New Roman" w:hAnsi="Times New Roman" w:cs="Times New Roman"/>
          <w:b/>
          <w:bCs/>
          <w:sz w:val="24"/>
          <w:szCs w:val="22"/>
        </w:rPr>
      </w:pPr>
      <w:r>
        <w:rPr>
          <w:rFonts w:ascii="Times New Roman" w:hAnsi="Times New Roman" w:cs="Times New Roman"/>
          <w:b/>
          <w:bCs/>
          <w:sz w:val="24"/>
          <w:szCs w:val="22"/>
        </w:rPr>
        <w:t xml:space="preserve">‘Missile Tests </w:t>
      </w:r>
      <w:proofErr w:type="gramStart"/>
      <w:r>
        <w:rPr>
          <w:rFonts w:ascii="Times New Roman" w:hAnsi="Times New Roman" w:cs="Times New Roman"/>
          <w:b/>
          <w:bCs/>
          <w:sz w:val="24"/>
          <w:szCs w:val="22"/>
        </w:rPr>
        <w:t>By</w:t>
      </w:r>
      <w:proofErr w:type="gramEnd"/>
      <w:r>
        <w:rPr>
          <w:rFonts w:ascii="Times New Roman" w:hAnsi="Times New Roman" w:cs="Times New Roman"/>
          <w:b/>
          <w:bCs/>
          <w:sz w:val="24"/>
          <w:szCs w:val="22"/>
        </w:rPr>
        <w:t xml:space="preserve"> N. Korea Are A P</w:t>
      </w:r>
      <w:r w:rsidRPr="00AD2B64">
        <w:rPr>
          <w:rFonts w:ascii="Times New Roman" w:hAnsi="Times New Roman" w:cs="Times New Roman"/>
          <w:b/>
          <w:bCs/>
          <w:sz w:val="24"/>
          <w:szCs w:val="22"/>
        </w:rPr>
        <w:t>rovocation’</w:t>
      </w:r>
    </w:p>
    <w:p w:rsidR="00AD2B64" w:rsidRDefault="00AD2B64" w:rsidP="00AD2B64">
      <w:pPr>
        <w:jc w:val="both"/>
        <w:rPr>
          <w:rFonts w:ascii="Times New Roman" w:hAnsi="Times New Roman" w:cs="Times New Roman"/>
          <w:b/>
          <w:bCs/>
          <w:sz w:val="24"/>
          <w:szCs w:val="22"/>
        </w:rPr>
      </w:pPr>
      <w:hyperlink r:id="rId7" w:history="1">
        <w:r w:rsidRPr="00202B61">
          <w:rPr>
            <w:rStyle w:val="Hyperlink"/>
            <w:rFonts w:ascii="Times New Roman" w:hAnsi="Times New Roman" w:cs="Times New Roman"/>
            <w:b/>
            <w:bCs/>
            <w:sz w:val="24"/>
            <w:szCs w:val="22"/>
          </w:rPr>
          <w:t>https://cdn.statically.io/img/d.newsweek.com/en/full/611412/north-korean-missiles.jpg</w:t>
        </w:r>
      </w:hyperlink>
      <w:r>
        <w:rPr>
          <w:rFonts w:ascii="Times New Roman" w:hAnsi="Times New Roman" w:cs="Times New Roman"/>
          <w:b/>
          <w:bCs/>
          <w:sz w:val="24"/>
          <w:szCs w:val="22"/>
        </w:rPr>
        <w:t xml:space="preserve"> </w:t>
      </w:r>
    </w:p>
    <w:p w:rsidR="00AD2B64" w:rsidRPr="00AD2B64" w:rsidRDefault="00AD2B64" w:rsidP="00AD2B64">
      <w:pPr>
        <w:jc w:val="both"/>
        <w:rPr>
          <w:rFonts w:ascii="Times New Roman" w:hAnsi="Times New Roman" w:cs="Times New Roman"/>
          <w:sz w:val="24"/>
          <w:szCs w:val="22"/>
        </w:rPr>
      </w:pPr>
      <w:r>
        <w:rPr>
          <w:rFonts w:ascii="Times New Roman" w:hAnsi="Times New Roman" w:cs="Times New Roman"/>
          <w:b/>
          <w:bCs/>
          <w:sz w:val="24"/>
          <w:szCs w:val="22"/>
        </w:rPr>
        <w:t xml:space="preserve">Context: </w:t>
      </w:r>
      <w:r>
        <w:rPr>
          <w:rFonts w:ascii="Times New Roman" w:hAnsi="Times New Roman" w:cs="Times New Roman"/>
          <w:sz w:val="24"/>
          <w:szCs w:val="22"/>
        </w:rPr>
        <w:t xml:space="preserve">Destabilizing the series of launches by </w:t>
      </w:r>
      <w:proofErr w:type="spellStart"/>
      <w:r>
        <w:rPr>
          <w:rFonts w:ascii="Times New Roman" w:hAnsi="Times New Roman" w:cs="Times New Roman"/>
          <w:sz w:val="24"/>
          <w:szCs w:val="22"/>
        </w:rPr>
        <w:t>Pyongang</w:t>
      </w:r>
      <w:proofErr w:type="spellEnd"/>
      <w:r>
        <w:rPr>
          <w:rFonts w:ascii="Times New Roman" w:hAnsi="Times New Roman" w:cs="Times New Roman"/>
          <w:sz w:val="24"/>
          <w:szCs w:val="22"/>
        </w:rPr>
        <w:t xml:space="preserve">, </w:t>
      </w:r>
      <w:r w:rsidRPr="00AD2B64">
        <w:rPr>
          <w:rFonts w:ascii="Times New Roman" w:hAnsi="Times New Roman" w:cs="Times New Roman"/>
          <w:sz w:val="24"/>
          <w:szCs w:val="22"/>
        </w:rPr>
        <w:t>the top diplomats of Japan, South Korea and the United States declared their unity against North Korea</w:t>
      </w:r>
      <w:r>
        <w:rPr>
          <w:rFonts w:ascii="Times New Roman" w:hAnsi="Times New Roman" w:cs="Times New Roman"/>
          <w:sz w:val="24"/>
          <w:szCs w:val="22"/>
        </w:rPr>
        <w:t xml:space="preserve"> and </w:t>
      </w:r>
      <w:r w:rsidRPr="00AD2B64">
        <w:rPr>
          <w:rFonts w:ascii="Times New Roman" w:hAnsi="Times New Roman" w:cs="Times New Roman"/>
          <w:sz w:val="24"/>
          <w:szCs w:val="22"/>
        </w:rPr>
        <w:t xml:space="preserve">reiterated their commitment to the </w:t>
      </w:r>
      <w:proofErr w:type="spellStart"/>
      <w:r w:rsidRPr="00AD2B64">
        <w:rPr>
          <w:rFonts w:ascii="Times New Roman" w:hAnsi="Times New Roman" w:cs="Times New Roman"/>
          <w:sz w:val="24"/>
          <w:szCs w:val="22"/>
        </w:rPr>
        <w:t>denuclearisation</w:t>
      </w:r>
      <w:proofErr w:type="spellEnd"/>
      <w:r w:rsidRPr="00AD2B64">
        <w:rPr>
          <w:rFonts w:ascii="Times New Roman" w:hAnsi="Times New Roman" w:cs="Times New Roman"/>
          <w:sz w:val="24"/>
          <w:szCs w:val="22"/>
        </w:rPr>
        <w:t xml:space="preserve"> of the entire Korean Peninsula</w:t>
      </w:r>
      <w:r>
        <w:rPr>
          <w:rFonts w:ascii="Times New Roman" w:hAnsi="Times New Roman" w:cs="Times New Roman"/>
          <w:sz w:val="24"/>
          <w:szCs w:val="22"/>
        </w:rPr>
        <w:t>.</w:t>
      </w:r>
    </w:p>
    <w:p w:rsidR="00AD2B64" w:rsidRPr="00AD2B64" w:rsidRDefault="00AD2B64" w:rsidP="00AD2B64">
      <w:pPr>
        <w:pStyle w:val="ListParagraph"/>
        <w:numPr>
          <w:ilvl w:val="0"/>
          <w:numId w:val="4"/>
        </w:numPr>
        <w:jc w:val="both"/>
        <w:rPr>
          <w:rFonts w:ascii="Times New Roman" w:hAnsi="Times New Roman" w:cs="Times New Roman"/>
          <w:sz w:val="24"/>
          <w:szCs w:val="22"/>
        </w:rPr>
      </w:pPr>
      <w:r w:rsidRPr="00AD2B64">
        <w:rPr>
          <w:rFonts w:ascii="Times New Roman" w:hAnsi="Times New Roman" w:cs="Times New Roman"/>
          <w:sz w:val="24"/>
          <w:szCs w:val="22"/>
        </w:rPr>
        <w:t>On 12</w:t>
      </w:r>
      <w:r w:rsidRPr="00AD2B64">
        <w:rPr>
          <w:rFonts w:ascii="Times New Roman" w:hAnsi="Times New Roman" w:cs="Times New Roman"/>
          <w:sz w:val="24"/>
          <w:szCs w:val="22"/>
          <w:vertAlign w:val="superscript"/>
        </w:rPr>
        <w:t>th</w:t>
      </w:r>
      <w:r w:rsidRPr="00AD2B64">
        <w:rPr>
          <w:rFonts w:ascii="Times New Roman" w:hAnsi="Times New Roman" w:cs="Times New Roman"/>
          <w:sz w:val="24"/>
          <w:szCs w:val="22"/>
        </w:rPr>
        <w:t xml:space="preserve"> February, the top diplomats of Japan, South Korea and the United States declared their unity against North Korea after a series of ballistic missile launches by Pyongyang.</w:t>
      </w:r>
    </w:p>
    <w:p w:rsidR="00AD2B64" w:rsidRPr="00AD2B64" w:rsidRDefault="00AD2B64" w:rsidP="00AD2B64">
      <w:pPr>
        <w:pStyle w:val="ListParagraph"/>
        <w:numPr>
          <w:ilvl w:val="0"/>
          <w:numId w:val="4"/>
        </w:numPr>
        <w:jc w:val="both"/>
        <w:rPr>
          <w:rFonts w:ascii="Times New Roman" w:hAnsi="Times New Roman" w:cs="Times New Roman"/>
          <w:sz w:val="24"/>
          <w:szCs w:val="22"/>
        </w:rPr>
      </w:pPr>
      <w:r w:rsidRPr="00AD2B64">
        <w:rPr>
          <w:rFonts w:ascii="Times New Roman" w:hAnsi="Times New Roman" w:cs="Times New Roman"/>
          <w:sz w:val="24"/>
          <w:szCs w:val="22"/>
        </w:rPr>
        <w:t xml:space="preserve">After a day of meetings in Honolulu, U.S. Secretary of State Antony </w:t>
      </w:r>
      <w:proofErr w:type="spellStart"/>
      <w:r w:rsidRPr="00AD2B64">
        <w:rPr>
          <w:rFonts w:ascii="Times New Roman" w:hAnsi="Times New Roman" w:cs="Times New Roman"/>
          <w:sz w:val="24"/>
          <w:szCs w:val="22"/>
        </w:rPr>
        <w:t>Blinken</w:t>
      </w:r>
      <w:proofErr w:type="spellEnd"/>
      <w:r w:rsidRPr="00AD2B64">
        <w:rPr>
          <w:rFonts w:ascii="Times New Roman" w:hAnsi="Times New Roman" w:cs="Times New Roman"/>
          <w:sz w:val="24"/>
          <w:szCs w:val="22"/>
        </w:rPr>
        <w:t xml:space="preserve">, South Korean Foreign Minister Chung </w:t>
      </w:r>
      <w:proofErr w:type="spellStart"/>
      <w:r w:rsidRPr="00AD2B64">
        <w:rPr>
          <w:rFonts w:ascii="Times New Roman" w:hAnsi="Times New Roman" w:cs="Times New Roman"/>
          <w:sz w:val="24"/>
          <w:szCs w:val="22"/>
        </w:rPr>
        <w:t>Eui-yong</w:t>
      </w:r>
      <w:proofErr w:type="spellEnd"/>
      <w:r w:rsidRPr="00AD2B64">
        <w:rPr>
          <w:rFonts w:ascii="Times New Roman" w:hAnsi="Times New Roman" w:cs="Times New Roman"/>
          <w:sz w:val="24"/>
          <w:szCs w:val="22"/>
        </w:rPr>
        <w:t xml:space="preserve">, and Japanese Foreign Minister Hayashi </w:t>
      </w:r>
      <w:proofErr w:type="spellStart"/>
      <w:r w:rsidRPr="00AD2B64">
        <w:rPr>
          <w:rFonts w:ascii="Times New Roman" w:hAnsi="Times New Roman" w:cs="Times New Roman"/>
          <w:sz w:val="24"/>
          <w:szCs w:val="22"/>
        </w:rPr>
        <w:t>Yoshimasa</w:t>
      </w:r>
      <w:proofErr w:type="spellEnd"/>
      <w:r w:rsidRPr="00AD2B64">
        <w:rPr>
          <w:rFonts w:ascii="Times New Roman" w:hAnsi="Times New Roman" w:cs="Times New Roman"/>
          <w:sz w:val="24"/>
          <w:szCs w:val="22"/>
        </w:rPr>
        <w:t xml:space="preserve"> condemned the series of seven launches by the country as “</w:t>
      </w:r>
      <w:proofErr w:type="spellStart"/>
      <w:r w:rsidRPr="00AD2B64">
        <w:rPr>
          <w:rFonts w:ascii="Times New Roman" w:hAnsi="Times New Roman" w:cs="Times New Roman"/>
          <w:sz w:val="24"/>
          <w:szCs w:val="22"/>
        </w:rPr>
        <w:t>destabilising</w:t>
      </w:r>
      <w:proofErr w:type="spellEnd"/>
      <w:r w:rsidRPr="00AD2B64">
        <w:rPr>
          <w:rFonts w:ascii="Times New Roman" w:hAnsi="Times New Roman" w:cs="Times New Roman"/>
          <w:sz w:val="24"/>
          <w:szCs w:val="22"/>
        </w:rPr>
        <w:t>” in a joint statement.</w:t>
      </w:r>
    </w:p>
    <w:p w:rsidR="00AD2B64" w:rsidRPr="00AD2B64" w:rsidRDefault="00AD2B64" w:rsidP="00AD2B64">
      <w:pPr>
        <w:jc w:val="both"/>
        <w:rPr>
          <w:rFonts w:ascii="Times New Roman" w:hAnsi="Times New Roman" w:cs="Times New Roman"/>
          <w:sz w:val="24"/>
          <w:szCs w:val="22"/>
        </w:rPr>
      </w:pPr>
      <w:r w:rsidRPr="00AD2B64">
        <w:rPr>
          <w:rFonts w:ascii="Times New Roman" w:hAnsi="Times New Roman" w:cs="Times New Roman"/>
          <w:b/>
          <w:bCs/>
          <w:sz w:val="24"/>
          <w:szCs w:val="22"/>
        </w:rPr>
        <w:t>Holding accountable</w:t>
      </w:r>
    </w:p>
    <w:p w:rsidR="00AD2B64" w:rsidRPr="00AD2B64" w:rsidRDefault="00AD2B64" w:rsidP="00AD2B64">
      <w:pPr>
        <w:pStyle w:val="ListParagraph"/>
        <w:numPr>
          <w:ilvl w:val="0"/>
          <w:numId w:val="5"/>
        </w:numPr>
        <w:jc w:val="both"/>
        <w:rPr>
          <w:rFonts w:ascii="Times New Roman" w:hAnsi="Times New Roman" w:cs="Times New Roman"/>
          <w:sz w:val="24"/>
          <w:szCs w:val="22"/>
        </w:rPr>
      </w:pPr>
      <w:r w:rsidRPr="00AD2B64">
        <w:rPr>
          <w:rFonts w:ascii="Times New Roman" w:hAnsi="Times New Roman" w:cs="Times New Roman"/>
          <w:sz w:val="24"/>
          <w:szCs w:val="22"/>
        </w:rPr>
        <w:t xml:space="preserve">The three diplomats reiterated their commitment to the </w:t>
      </w:r>
      <w:proofErr w:type="spellStart"/>
      <w:r w:rsidRPr="00AD2B64">
        <w:rPr>
          <w:rFonts w:ascii="Times New Roman" w:hAnsi="Times New Roman" w:cs="Times New Roman"/>
          <w:sz w:val="24"/>
          <w:szCs w:val="22"/>
        </w:rPr>
        <w:t>denuclearisation</w:t>
      </w:r>
      <w:proofErr w:type="spellEnd"/>
      <w:r w:rsidRPr="00AD2B64">
        <w:rPr>
          <w:rFonts w:ascii="Times New Roman" w:hAnsi="Times New Roman" w:cs="Times New Roman"/>
          <w:sz w:val="24"/>
          <w:szCs w:val="22"/>
        </w:rPr>
        <w:t xml:space="preserve"> of the entire Korean Peninsula, and readiness to resume talks with Pyongyang, which has not responded to overtures from the administration of U.S. Pres</w:t>
      </w:r>
      <w:r>
        <w:rPr>
          <w:rFonts w:ascii="Times New Roman" w:hAnsi="Times New Roman" w:cs="Times New Roman"/>
          <w:sz w:val="24"/>
          <w:szCs w:val="22"/>
        </w:rPr>
        <w:t>ident Joe Biden in 2021</w:t>
      </w:r>
      <w:r w:rsidRPr="00AD2B64">
        <w:rPr>
          <w:rFonts w:ascii="Times New Roman" w:hAnsi="Times New Roman" w:cs="Times New Roman"/>
          <w:sz w:val="24"/>
          <w:szCs w:val="22"/>
        </w:rPr>
        <w:t>.</w:t>
      </w:r>
    </w:p>
    <w:p w:rsidR="00AD2B64" w:rsidRPr="00AD2B64" w:rsidRDefault="00AD2B64" w:rsidP="00AD2B64">
      <w:pPr>
        <w:jc w:val="both"/>
        <w:rPr>
          <w:rFonts w:ascii="Times New Roman" w:hAnsi="Times New Roman" w:cs="Times New Roman"/>
          <w:sz w:val="24"/>
          <w:szCs w:val="22"/>
        </w:rPr>
      </w:pPr>
    </w:p>
    <w:p w:rsidR="00AD2B64" w:rsidRDefault="00AD2B64" w:rsidP="00C32184">
      <w:pPr>
        <w:jc w:val="both"/>
        <w:rPr>
          <w:rFonts w:ascii="Times New Roman" w:hAnsi="Times New Roman" w:cs="Times New Roman"/>
          <w:b/>
          <w:bCs/>
          <w:sz w:val="24"/>
          <w:szCs w:val="22"/>
        </w:rPr>
      </w:pPr>
    </w:p>
    <w:p w:rsidR="00AD2B64" w:rsidRDefault="00AD2B64" w:rsidP="00C32184">
      <w:pPr>
        <w:jc w:val="both"/>
        <w:rPr>
          <w:rFonts w:ascii="Times New Roman" w:hAnsi="Times New Roman" w:cs="Times New Roman"/>
          <w:b/>
          <w:bCs/>
          <w:sz w:val="24"/>
          <w:szCs w:val="22"/>
        </w:rPr>
      </w:pPr>
      <w:r>
        <w:rPr>
          <w:rFonts w:ascii="Times New Roman" w:hAnsi="Times New Roman" w:cs="Times New Roman"/>
          <w:b/>
          <w:bCs/>
          <w:sz w:val="24"/>
          <w:szCs w:val="22"/>
        </w:rPr>
        <w:t>Others</w:t>
      </w:r>
    </w:p>
    <w:p w:rsidR="00AD2B64" w:rsidRDefault="00AD2B64" w:rsidP="00AD2B64">
      <w:pPr>
        <w:jc w:val="both"/>
        <w:rPr>
          <w:rFonts w:ascii="Times New Roman" w:hAnsi="Times New Roman" w:cs="Times New Roman"/>
          <w:b/>
          <w:bCs/>
          <w:sz w:val="24"/>
          <w:szCs w:val="22"/>
        </w:rPr>
      </w:pPr>
      <w:proofErr w:type="spellStart"/>
      <w:r>
        <w:rPr>
          <w:rFonts w:ascii="Times New Roman" w:hAnsi="Times New Roman" w:cs="Times New Roman"/>
          <w:b/>
          <w:bCs/>
          <w:sz w:val="24"/>
          <w:szCs w:val="22"/>
        </w:rPr>
        <w:t>Chandernagore’s</w:t>
      </w:r>
      <w:proofErr w:type="spellEnd"/>
      <w:r>
        <w:rPr>
          <w:rFonts w:ascii="Times New Roman" w:hAnsi="Times New Roman" w:cs="Times New Roman"/>
          <w:b/>
          <w:bCs/>
          <w:sz w:val="24"/>
          <w:szCs w:val="22"/>
        </w:rPr>
        <w:t xml:space="preserve"> French Heritage Awaits F</w:t>
      </w:r>
      <w:r w:rsidRPr="00AD2B64">
        <w:rPr>
          <w:rFonts w:ascii="Times New Roman" w:hAnsi="Times New Roman" w:cs="Times New Roman"/>
          <w:b/>
          <w:bCs/>
          <w:sz w:val="24"/>
          <w:szCs w:val="22"/>
        </w:rPr>
        <w:t>acelift</w:t>
      </w:r>
    </w:p>
    <w:p w:rsidR="00AD2B64" w:rsidRDefault="00AD2B64" w:rsidP="00AD2B64">
      <w:pPr>
        <w:jc w:val="both"/>
        <w:rPr>
          <w:rFonts w:ascii="Times New Roman" w:hAnsi="Times New Roman" w:cs="Times New Roman"/>
          <w:b/>
          <w:bCs/>
          <w:sz w:val="24"/>
          <w:szCs w:val="22"/>
        </w:rPr>
      </w:pPr>
      <w:hyperlink r:id="rId8" w:history="1">
        <w:r w:rsidRPr="00202B61">
          <w:rPr>
            <w:rStyle w:val="Hyperlink"/>
            <w:rFonts w:ascii="Times New Roman" w:hAnsi="Times New Roman" w:cs="Times New Roman"/>
            <w:b/>
            <w:bCs/>
            <w:sz w:val="24"/>
            <w:szCs w:val="22"/>
          </w:rPr>
          <w:t>https://www.thehindu.com/todays-paper/tp-national/qibdet/article65047376.ece/alternates/FREE_660/Restoration-of%C2%A0%2BGAS9GAR9V.3.jpg.jpg</w:t>
        </w:r>
      </w:hyperlink>
      <w:r>
        <w:rPr>
          <w:rFonts w:ascii="Times New Roman" w:hAnsi="Times New Roman" w:cs="Times New Roman"/>
          <w:b/>
          <w:bCs/>
          <w:sz w:val="24"/>
          <w:szCs w:val="22"/>
        </w:rPr>
        <w:t xml:space="preserve"> </w:t>
      </w:r>
    </w:p>
    <w:p w:rsidR="00AD2B64" w:rsidRPr="00135E5D" w:rsidRDefault="00AD2B64" w:rsidP="00AD2B64">
      <w:pPr>
        <w:jc w:val="both"/>
        <w:rPr>
          <w:rFonts w:ascii="Times New Roman" w:hAnsi="Times New Roman" w:cs="Times New Roman"/>
          <w:sz w:val="24"/>
          <w:szCs w:val="22"/>
        </w:rPr>
      </w:pPr>
      <w:r>
        <w:rPr>
          <w:rFonts w:ascii="Times New Roman" w:hAnsi="Times New Roman" w:cs="Times New Roman"/>
          <w:b/>
          <w:bCs/>
          <w:sz w:val="24"/>
          <w:szCs w:val="22"/>
        </w:rPr>
        <w:t>Context:</w:t>
      </w:r>
      <w:r w:rsidR="00135E5D">
        <w:rPr>
          <w:rFonts w:ascii="Times New Roman" w:hAnsi="Times New Roman" w:cs="Times New Roman"/>
          <w:b/>
          <w:bCs/>
          <w:sz w:val="24"/>
          <w:szCs w:val="22"/>
        </w:rPr>
        <w:t xml:space="preserve"> </w:t>
      </w:r>
      <w:r w:rsidR="00135E5D">
        <w:rPr>
          <w:rFonts w:ascii="Times New Roman" w:hAnsi="Times New Roman" w:cs="Times New Roman"/>
          <w:sz w:val="24"/>
          <w:szCs w:val="22"/>
        </w:rPr>
        <w:t>The a</w:t>
      </w:r>
      <w:r w:rsidR="00135E5D" w:rsidRPr="00135E5D">
        <w:rPr>
          <w:rFonts w:ascii="Times New Roman" w:hAnsi="Times New Roman" w:cs="Times New Roman"/>
          <w:sz w:val="24"/>
          <w:szCs w:val="22"/>
        </w:rPr>
        <w:t>rchitects from France and India were working on the</w:t>
      </w:r>
      <w:r w:rsidR="00135E5D">
        <w:rPr>
          <w:rFonts w:ascii="Times New Roman" w:hAnsi="Times New Roman" w:cs="Times New Roman"/>
          <w:sz w:val="24"/>
          <w:szCs w:val="22"/>
        </w:rPr>
        <w:t xml:space="preserve"> restoration of the Registry Building, </w:t>
      </w:r>
      <w:r w:rsidRPr="00135E5D">
        <w:rPr>
          <w:rFonts w:ascii="Times New Roman" w:hAnsi="Times New Roman" w:cs="Times New Roman"/>
          <w:sz w:val="24"/>
          <w:szCs w:val="22"/>
        </w:rPr>
        <w:t xml:space="preserve">a two-storey structure at </w:t>
      </w:r>
      <w:proofErr w:type="spellStart"/>
      <w:r w:rsidRPr="00135E5D">
        <w:rPr>
          <w:rFonts w:ascii="Times New Roman" w:hAnsi="Times New Roman" w:cs="Times New Roman"/>
          <w:sz w:val="24"/>
          <w:szCs w:val="22"/>
        </w:rPr>
        <w:t>Chandernagore</w:t>
      </w:r>
      <w:proofErr w:type="spellEnd"/>
      <w:r w:rsidRPr="00135E5D">
        <w:rPr>
          <w:rFonts w:ascii="Times New Roman" w:hAnsi="Times New Roman" w:cs="Times New Roman"/>
          <w:sz w:val="24"/>
          <w:szCs w:val="22"/>
        </w:rPr>
        <w:t xml:space="preserve"> built in 1875</w:t>
      </w:r>
      <w:r w:rsidR="00135E5D">
        <w:rPr>
          <w:rFonts w:ascii="Times New Roman" w:hAnsi="Times New Roman" w:cs="Times New Roman"/>
          <w:sz w:val="24"/>
          <w:szCs w:val="22"/>
        </w:rPr>
        <w:t>, with the help of a</w:t>
      </w:r>
      <w:r w:rsidR="00135E5D" w:rsidRPr="00135E5D">
        <w:rPr>
          <w:rFonts w:ascii="Times New Roman" w:hAnsi="Times New Roman" w:cs="Times New Roman"/>
          <w:sz w:val="24"/>
          <w:szCs w:val="22"/>
        </w:rPr>
        <w:t xml:space="preserve"> prominent hospitality group as a sponsor of the project</w:t>
      </w:r>
      <w:r w:rsidR="00135E5D">
        <w:rPr>
          <w:rFonts w:ascii="Times New Roman" w:hAnsi="Times New Roman" w:cs="Times New Roman"/>
          <w:sz w:val="24"/>
          <w:szCs w:val="22"/>
        </w:rPr>
        <w:t xml:space="preserve">. </w:t>
      </w:r>
    </w:p>
    <w:p w:rsidR="00AD2B64" w:rsidRPr="00AD2B64" w:rsidRDefault="00AD2B64" w:rsidP="00AD2B64">
      <w:pPr>
        <w:pStyle w:val="ListParagraph"/>
        <w:numPr>
          <w:ilvl w:val="0"/>
          <w:numId w:val="5"/>
        </w:numPr>
        <w:jc w:val="both"/>
        <w:rPr>
          <w:rFonts w:ascii="Times New Roman" w:hAnsi="Times New Roman" w:cs="Times New Roman"/>
          <w:sz w:val="24"/>
          <w:szCs w:val="22"/>
        </w:rPr>
      </w:pPr>
      <w:r w:rsidRPr="00AD2B64">
        <w:rPr>
          <w:rFonts w:ascii="Times New Roman" w:hAnsi="Times New Roman" w:cs="Times New Roman"/>
          <w:sz w:val="24"/>
          <w:szCs w:val="22"/>
        </w:rPr>
        <w:t xml:space="preserve">The Registry Building, a two-storey structure at </w:t>
      </w:r>
      <w:proofErr w:type="spellStart"/>
      <w:r w:rsidRPr="00AD2B64">
        <w:rPr>
          <w:rFonts w:ascii="Times New Roman" w:hAnsi="Times New Roman" w:cs="Times New Roman"/>
          <w:sz w:val="24"/>
          <w:szCs w:val="22"/>
        </w:rPr>
        <w:t>Chandernagore</w:t>
      </w:r>
      <w:proofErr w:type="spellEnd"/>
      <w:r w:rsidRPr="00AD2B64">
        <w:rPr>
          <w:rFonts w:ascii="Times New Roman" w:hAnsi="Times New Roman" w:cs="Times New Roman"/>
          <w:sz w:val="24"/>
          <w:szCs w:val="22"/>
        </w:rPr>
        <w:t xml:space="preserve"> built in 1875 and a symbol of French settlement of the colonial town, has been awaiting restoration for a long time.</w:t>
      </w:r>
    </w:p>
    <w:p w:rsidR="00AD2B64" w:rsidRPr="00AD2B64" w:rsidRDefault="00AD2B64" w:rsidP="00AD2B64">
      <w:pPr>
        <w:pStyle w:val="ListParagraph"/>
        <w:numPr>
          <w:ilvl w:val="0"/>
          <w:numId w:val="5"/>
        </w:numPr>
        <w:jc w:val="both"/>
        <w:rPr>
          <w:rFonts w:ascii="Times New Roman" w:hAnsi="Times New Roman" w:cs="Times New Roman"/>
          <w:sz w:val="24"/>
          <w:szCs w:val="22"/>
        </w:rPr>
      </w:pPr>
      <w:r w:rsidRPr="00AD2B64">
        <w:rPr>
          <w:rFonts w:ascii="Times New Roman" w:hAnsi="Times New Roman" w:cs="Times New Roman"/>
          <w:sz w:val="24"/>
          <w:szCs w:val="22"/>
        </w:rPr>
        <w:lastRenderedPageBreak/>
        <w:t xml:space="preserve">Architects, heritage enthusiasts, West Bengal government officials and diplomats, on several occasions in the past few years, visited the crumbling building located on the </w:t>
      </w:r>
      <w:proofErr w:type="gramStart"/>
      <w:r w:rsidRPr="00AD2B64">
        <w:rPr>
          <w:rFonts w:ascii="Times New Roman" w:hAnsi="Times New Roman" w:cs="Times New Roman"/>
          <w:sz w:val="24"/>
          <w:szCs w:val="22"/>
        </w:rPr>
        <w:t>strand</w:t>
      </w:r>
      <w:proofErr w:type="gramEnd"/>
      <w:r w:rsidRPr="00AD2B64">
        <w:rPr>
          <w:rFonts w:ascii="Times New Roman" w:hAnsi="Times New Roman" w:cs="Times New Roman"/>
          <w:sz w:val="24"/>
          <w:szCs w:val="22"/>
        </w:rPr>
        <w:t xml:space="preserve"> opposite the </w:t>
      </w:r>
      <w:proofErr w:type="spellStart"/>
      <w:r w:rsidRPr="00AD2B64">
        <w:rPr>
          <w:rFonts w:ascii="Times New Roman" w:hAnsi="Times New Roman" w:cs="Times New Roman"/>
          <w:sz w:val="24"/>
          <w:szCs w:val="22"/>
        </w:rPr>
        <w:t>Rani</w:t>
      </w:r>
      <w:proofErr w:type="spellEnd"/>
      <w:r w:rsidRPr="00AD2B64">
        <w:rPr>
          <w:rFonts w:ascii="Times New Roman" w:hAnsi="Times New Roman" w:cs="Times New Roman"/>
          <w:sz w:val="24"/>
          <w:szCs w:val="22"/>
        </w:rPr>
        <w:t xml:space="preserve"> </w:t>
      </w:r>
      <w:proofErr w:type="spellStart"/>
      <w:r w:rsidRPr="00AD2B64">
        <w:rPr>
          <w:rFonts w:ascii="Times New Roman" w:hAnsi="Times New Roman" w:cs="Times New Roman"/>
          <w:sz w:val="24"/>
          <w:szCs w:val="22"/>
        </w:rPr>
        <w:t>Ghat</w:t>
      </w:r>
      <w:proofErr w:type="spellEnd"/>
      <w:r w:rsidRPr="00AD2B64">
        <w:rPr>
          <w:rFonts w:ascii="Times New Roman" w:hAnsi="Times New Roman" w:cs="Times New Roman"/>
          <w:sz w:val="24"/>
          <w:szCs w:val="22"/>
        </w:rPr>
        <w:t xml:space="preserve"> jetty on the banks of the Hooghly and promised to restore the structure.</w:t>
      </w:r>
    </w:p>
    <w:p w:rsidR="00AD2B64" w:rsidRPr="00135E5D" w:rsidRDefault="00AD2B64" w:rsidP="00135E5D">
      <w:pPr>
        <w:pStyle w:val="ListParagraph"/>
        <w:numPr>
          <w:ilvl w:val="0"/>
          <w:numId w:val="5"/>
        </w:numPr>
        <w:jc w:val="both"/>
        <w:rPr>
          <w:rFonts w:ascii="Times New Roman" w:hAnsi="Times New Roman" w:cs="Times New Roman"/>
          <w:sz w:val="24"/>
          <w:szCs w:val="22"/>
        </w:rPr>
      </w:pPr>
      <w:proofErr w:type="spellStart"/>
      <w:r w:rsidRPr="00135E5D">
        <w:rPr>
          <w:rFonts w:ascii="Times New Roman" w:hAnsi="Times New Roman" w:cs="Times New Roman"/>
          <w:sz w:val="24"/>
          <w:szCs w:val="22"/>
        </w:rPr>
        <w:t>Emphasising</w:t>
      </w:r>
      <w:proofErr w:type="spellEnd"/>
      <w:r w:rsidRPr="00135E5D">
        <w:rPr>
          <w:rFonts w:ascii="Times New Roman" w:hAnsi="Times New Roman" w:cs="Times New Roman"/>
          <w:sz w:val="24"/>
          <w:szCs w:val="22"/>
        </w:rPr>
        <w:t xml:space="preserve"> that the structure needed an urgent facelift, </w:t>
      </w:r>
      <w:r w:rsidR="00135E5D" w:rsidRPr="00135E5D">
        <w:rPr>
          <w:rFonts w:ascii="Times New Roman" w:hAnsi="Times New Roman" w:cs="Times New Roman"/>
          <w:sz w:val="24"/>
          <w:szCs w:val="22"/>
        </w:rPr>
        <w:t xml:space="preserve">French Ambassador to India Emmanuel </w:t>
      </w:r>
      <w:proofErr w:type="spellStart"/>
      <w:r w:rsidR="00135E5D" w:rsidRPr="00135E5D">
        <w:rPr>
          <w:rFonts w:ascii="Times New Roman" w:hAnsi="Times New Roman" w:cs="Times New Roman"/>
          <w:sz w:val="24"/>
          <w:szCs w:val="22"/>
        </w:rPr>
        <w:t>Lenain</w:t>
      </w:r>
      <w:proofErr w:type="spellEnd"/>
      <w:r w:rsidR="00135E5D" w:rsidRPr="00135E5D">
        <w:rPr>
          <w:rFonts w:ascii="Times New Roman" w:hAnsi="Times New Roman" w:cs="Times New Roman"/>
          <w:sz w:val="24"/>
          <w:szCs w:val="22"/>
        </w:rPr>
        <w:t xml:space="preserve"> </w:t>
      </w:r>
      <w:r w:rsidRPr="00135E5D">
        <w:rPr>
          <w:rFonts w:ascii="Times New Roman" w:hAnsi="Times New Roman" w:cs="Times New Roman"/>
          <w:sz w:val="24"/>
          <w:szCs w:val="22"/>
        </w:rPr>
        <w:t>said that the restoration of the building would be completed in two or three years.</w:t>
      </w:r>
    </w:p>
    <w:p w:rsidR="00135E5D" w:rsidRDefault="00AD2B64" w:rsidP="00AD2B64">
      <w:pPr>
        <w:pStyle w:val="ListParagraph"/>
        <w:numPr>
          <w:ilvl w:val="0"/>
          <w:numId w:val="5"/>
        </w:numPr>
        <w:jc w:val="both"/>
        <w:rPr>
          <w:rFonts w:ascii="Times New Roman" w:hAnsi="Times New Roman" w:cs="Times New Roman"/>
          <w:sz w:val="24"/>
          <w:szCs w:val="22"/>
        </w:rPr>
      </w:pPr>
      <w:r w:rsidRPr="00135E5D">
        <w:rPr>
          <w:rFonts w:ascii="Times New Roman" w:hAnsi="Times New Roman" w:cs="Times New Roman"/>
          <w:sz w:val="24"/>
          <w:szCs w:val="22"/>
        </w:rPr>
        <w:t xml:space="preserve">There were plans for having a café, restaurant and a boutique hotel with the architectural principle that the original structure remained unchanged. </w:t>
      </w:r>
    </w:p>
    <w:p w:rsidR="00AD2B64" w:rsidRPr="00135E5D" w:rsidRDefault="00AD2B64" w:rsidP="00AD2B64">
      <w:pPr>
        <w:pStyle w:val="ListParagraph"/>
        <w:numPr>
          <w:ilvl w:val="0"/>
          <w:numId w:val="5"/>
        </w:numPr>
        <w:jc w:val="both"/>
        <w:rPr>
          <w:rFonts w:ascii="Times New Roman" w:hAnsi="Times New Roman" w:cs="Times New Roman"/>
          <w:sz w:val="24"/>
          <w:szCs w:val="22"/>
        </w:rPr>
      </w:pPr>
      <w:r w:rsidRPr="00135E5D">
        <w:rPr>
          <w:rFonts w:ascii="Times New Roman" w:hAnsi="Times New Roman" w:cs="Times New Roman"/>
          <w:sz w:val="24"/>
          <w:szCs w:val="22"/>
        </w:rPr>
        <w:t>Architects from France and India were working on the project, and the French Embassy, the State government and other stakeholders had identified a prominent hospitality group as a sponsor of the project.</w:t>
      </w:r>
    </w:p>
    <w:p w:rsidR="00AD2B64" w:rsidRPr="00AD2B64" w:rsidRDefault="00AD2B64" w:rsidP="00AD2B64">
      <w:pPr>
        <w:jc w:val="both"/>
        <w:rPr>
          <w:rFonts w:ascii="Times New Roman" w:hAnsi="Times New Roman" w:cs="Times New Roman"/>
          <w:sz w:val="24"/>
          <w:szCs w:val="22"/>
        </w:rPr>
      </w:pPr>
      <w:r w:rsidRPr="00AD2B64">
        <w:rPr>
          <w:rFonts w:ascii="Times New Roman" w:hAnsi="Times New Roman" w:cs="Times New Roman"/>
          <w:b/>
          <w:bCs/>
          <w:sz w:val="24"/>
          <w:szCs w:val="22"/>
        </w:rPr>
        <w:t>Proposal extended</w:t>
      </w:r>
    </w:p>
    <w:p w:rsidR="00135E5D" w:rsidRDefault="00AD2B64" w:rsidP="00135E5D">
      <w:pPr>
        <w:pStyle w:val="ListParagraph"/>
        <w:numPr>
          <w:ilvl w:val="0"/>
          <w:numId w:val="6"/>
        </w:numPr>
        <w:jc w:val="both"/>
        <w:rPr>
          <w:rFonts w:ascii="Times New Roman" w:hAnsi="Times New Roman" w:cs="Times New Roman"/>
          <w:sz w:val="24"/>
          <w:szCs w:val="22"/>
        </w:rPr>
      </w:pPr>
      <w:r w:rsidRPr="00135E5D">
        <w:rPr>
          <w:rFonts w:ascii="Times New Roman" w:hAnsi="Times New Roman" w:cs="Times New Roman"/>
          <w:sz w:val="24"/>
          <w:szCs w:val="22"/>
        </w:rPr>
        <w:t xml:space="preserve">Officials of the French Consulate in Kolkata said that an agreement for the restoration project was drawn up in February 2019. </w:t>
      </w:r>
    </w:p>
    <w:p w:rsidR="00AD2B64" w:rsidRPr="00135E5D" w:rsidRDefault="00AD2B64" w:rsidP="00135E5D">
      <w:pPr>
        <w:pStyle w:val="ListParagraph"/>
        <w:numPr>
          <w:ilvl w:val="0"/>
          <w:numId w:val="6"/>
        </w:numPr>
        <w:jc w:val="both"/>
        <w:rPr>
          <w:rFonts w:ascii="Times New Roman" w:hAnsi="Times New Roman" w:cs="Times New Roman"/>
          <w:sz w:val="24"/>
          <w:szCs w:val="22"/>
        </w:rPr>
      </w:pPr>
      <w:r w:rsidRPr="00135E5D">
        <w:rPr>
          <w:rFonts w:ascii="Times New Roman" w:hAnsi="Times New Roman" w:cs="Times New Roman"/>
          <w:sz w:val="24"/>
          <w:szCs w:val="22"/>
        </w:rPr>
        <w:t>After the memorandum of understanding lapsed in March 2021, as not much progress could be made because of the COVID-19 pandemic, the proposal was extended for another 30 months.</w:t>
      </w:r>
    </w:p>
    <w:p w:rsidR="00135E5D" w:rsidRDefault="00AD2B64" w:rsidP="00135E5D">
      <w:pPr>
        <w:pStyle w:val="ListParagraph"/>
        <w:numPr>
          <w:ilvl w:val="0"/>
          <w:numId w:val="6"/>
        </w:numPr>
        <w:jc w:val="both"/>
        <w:rPr>
          <w:rFonts w:ascii="Times New Roman" w:hAnsi="Times New Roman" w:cs="Times New Roman"/>
          <w:sz w:val="24"/>
          <w:szCs w:val="22"/>
        </w:rPr>
      </w:pPr>
      <w:proofErr w:type="spellStart"/>
      <w:r w:rsidRPr="00135E5D">
        <w:rPr>
          <w:rFonts w:ascii="Times New Roman" w:hAnsi="Times New Roman" w:cs="Times New Roman"/>
          <w:sz w:val="24"/>
          <w:szCs w:val="22"/>
        </w:rPr>
        <w:t>Chandernagore</w:t>
      </w:r>
      <w:proofErr w:type="spellEnd"/>
      <w:r w:rsidRPr="00135E5D">
        <w:rPr>
          <w:rFonts w:ascii="Times New Roman" w:hAnsi="Times New Roman" w:cs="Times New Roman"/>
          <w:sz w:val="24"/>
          <w:szCs w:val="22"/>
        </w:rPr>
        <w:t xml:space="preserve">, or </w:t>
      </w:r>
      <w:proofErr w:type="spellStart"/>
      <w:r w:rsidRPr="00135E5D">
        <w:rPr>
          <w:rFonts w:ascii="Times New Roman" w:hAnsi="Times New Roman" w:cs="Times New Roman"/>
          <w:sz w:val="24"/>
          <w:szCs w:val="22"/>
        </w:rPr>
        <w:t>Chandannagar</w:t>
      </w:r>
      <w:proofErr w:type="spellEnd"/>
      <w:r w:rsidRPr="00135E5D">
        <w:rPr>
          <w:rFonts w:ascii="Times New Roman" w:hAnsi="Times New Roman" w:cs="Times New Roman"/>
          <w:sz w:val="24"/>
          <w:szCs w:val="22"/>
        </w:rPr>
        <w:t xml:space="preserve">, was the first trading post on the eastern bank of the Hooghly, set up by the French in 1696. There are several buildings in the town that are a reflection of the rich architectural heritage of the town. </w:t>
      </w:r>
    </w:p>
    <w:p w:rsidR="00AD2B64" w:rsidRPr="00135E5D" w:rsidRDefault="00AD2B64" w:rsidP="00135E5D">
      <w:pPr>
        <w:pStyle w:val="ListParagraph"/>
        <w:numPr>
          <w:ilvl w:val="0"/>
          <w:numId w:val="6"/>
        </w:numPr>
        <w:jc w:val="both"/>
        <w:rPr>
          <w:rFonts w:ascii="Times New Roman" w:hAnsi="Times New Roman" w:cs="Times New Roman"/>
          <w:sz w:val="24"/>
          <w:szCs w:val="22"/>
        </w:rPr>
      </w:pPr>
      <w:r w:rsidRPr="00135E5D">
        <w:rPr>
          <w:rFonts w:ascii="Times New Roman" w:hAnsi="Times New Roman" w:cs="Times New Roman"/>
          <w:sz w:val="24"/>
          <w:szCs w:val="22"/>
        </w:rPr>
        <w:t>Other than the buildings and structures that have been given the heritage tag, 99 Indo-French heritage structures have been identified to be restored.</w:t>
      </w:r>
    </w:p>
    <w:p w:rsidR="00AD2B64" w:rsidRDefault="00AD2B64" w:rsidP="00AD2B64">
      <w:pPr>
        <w:jc w:val="both"/>
        <w:rPr>
          <w:rFonts w:ascii="Times New Roman" w:hAnsi="Times New Roman" w:cs="Times New Roman"/>
          <w:sz w:val="24"/>
          <w:szCs w:val="22"/>
        </w:rPr>
      </w:pPr>
    </w:p>
    <w:p w:rsidR="00135E5D" w:rsidRDefault="00135E5D" w:rsidP="00AD2B64">
      <w:pPr>
        <w:jc w:val="both"/>
        <w:rPr>
          <w:rFonts w:ascii="Times New Roman" w:hAnsi="Times New Roman" w:cs="Times New Roman"/>
          <w:b/>
          <w:bCs/>
          <w:sz w:val="24"/>
          <w:szCs w:val="22"/>
        </w:rPr>
      </w:pPr>
      <w:r>
        <w:rPr>
          <w:rFonts w:ascii="Times New Roman" w:hAnsi="Times New Roman" w:cs="Times New Roman"/>
          <w:b/>
          <w:bCs/>
          <w:sz w:val="24"/>
          <w:szCs w:val="22"/>
        </w:rPr>
        <w:t>Editorial</w:t>
      </w:r>
    </w:p>
    <w:p w:rsidR="00135E5D" w:rsidRDefault="00135E5D" w:rsidP="00135E5D">
      <w:pPr>
        <w:jc w:val="both"/>
        <w:rPr>
          <w:rFonts w:ascii="Times New Roman" w:hAnsi="Times New Roman" w:cs="Times New Roman"/>
          <w:b/>
          <w:bCs/>
          <w:sz w:val="24"/>
          <w:szCs w:val="22"/>
        </w:rPr>
      </w:pPr>
      <w:r>
        <w:rPr>
          <w:rFonts w:ascii="Times New Roman" w:hAnsi="Times New Roman" w:cs="Times New Roman"/>
          <w:b/>
          <w:bCs/>
          <w:sz w:val="24"/>
          <w:szCs w:val="22"/>
        </w:rPr>
        <w:t xml:space="preserve">The Era </w:t>
      </w:r>
      <w:proofErr w:type="gramStart"/>
      <w:r>
        <w:rPr>
          <w:rFonts w:ascii="Times New Roman" w:hAnsi="Times New Roman" w:cs="Times New Roman"/>
          <w:b/>
          <w:bCs/>
          <w:sz w:val="24"/>
          <w:szCs w:val="22"/>
        </w:rPr>
        <w:t>Of</w:t>
      </w:r>
      <w:proofErr w:type="gramEnd"/>
      <w:r>
        <w:rPr>
          <w:rFonts w:ascii="Times New Roman" w:hAnsi="Times New Roman" w:cs="Times New Roman"/>
          <w:b/>
          <w:bCs/>
          <w:sz w:val="24"/>
          <w:szCs w:val="22"/>
        </w:rPr>
        <w:t xml:space="preserve"> Combative F</w:t>
      </w:r>
      <w:r w:rsidRPr="00135E5D">
        <w:rPr>
          <w:rFonts w:ascii="Times New Roman" w:hAnsi="Times New Roman" w:cs="Times New Roman"/>
          <w:b/>
          <w:bCs/>
          <w:sz w:val="24"/>
          <w:szCs w:val="22"/>
        </w:rPr>
        <w:t>ederalism</w:t>
      </w:r>
    </w:p>
    <w:p w:rsidR="00135E5D" w:rsidRDefault="00135E5D" w:rsidP="00135E5D">
      <w:pPr>
        <w:jc w:val="both"/>
        <w:rPr>
          <w:rFonts w:ascii="Times New Roman" w:hAnsi="Times New Roman" w:cs="Times New Roman"/>
          <w:b/>
          <w:bCs/>
          <w:sz w:val="24"/>
          <w:szCs w:val="22"/>
        </w:rPr>
      </w:pPr>
      <w:hyperlink r:id="rId9" w:history="1">
        <w:r w:rsidRPr="00202B61">
          <w:rPr>
            <w:rStyle w:val="Hyperlink"/>
            <w:rFonts w:ascii="Times New Roman" w:hAnsi="Times New Roman" w:cs="Times New Roman"/>
            <w:b/>
            <w:bCs/>
            <w:sz w:val="24"/>
            <w:szCs w:val="22"/>
          </w:rPr>
          <w:t>https://www.thehindu.com/todays-paper/tp-opinion/g1z06l/article65047335.ece/alternates/FREE_660/Combative-feder%2BGLK9GALSU.5.jpg.jpg</w:t>
        </w:r>
      </w:hyperlink>
      <w:r>
        <w:rPr>
          <w:rFonts w:ascii="Times New Roman" w:hAnsi="Times New Roman" w:cs="Times New Roman"/>
          <w:b/>
          <w:bCs/>
          <w:sz w:val="24"/>
          <w:szCs w:val="22"/>
        </w:rPr>
        <w:t xml:space="preserve"> </w:t>
      </w:r>
    </w:p>
    <w:p w:rsidR="00135E5D" w:rsidRPr="00135E5D" w:rsidRDefault="00135E5D" w:rsidP="00135E5D">
      <w:pPr>
        <w:jc w:val="both"/>
        <w:rPr>
          <w:rFonts w:ascii="Times New Roman" w:hAnsi="Times New Roman" w:cs="Times New Roman"/>
          <w:sz w:val="24"/>
          <w:szCs w:val="22"/>
        </w:rPr>
      </w:pPr>
      <w:r>
        <w:rPr>
          <w:rFonts w:ascii="Times New Roman" w:hAnsi="Times New Roman" w:cs="Times New Roman"/>
          <w:b/>
          <w:bCs/>
          <w:sz w:val="24"/>
          <w:szCs w:val="22"/>
        </w:rPr>
        <w:t xml:space="preserve">Context: </w:t>
      </w:r>
      <w:r w:rsidR="00FC13DB">
        <w:rPr>
          <w:rFonts w:ascii="Times New Roman" w:hAnsi="Times New Roman" w:cs="Times New Roman"/>
          <w:sz w:val="24"/>
          <w:szCs w:val="22"/>
        </w:rPr>
        <w:t>The reversal of</w:t>
      </w:r>
      <w:r w:rsidR="006048BB">
        <w:rPr>
          <w:rFonts w:ascii="Times New Roman" w:hAnsi="Times New Roman" w:cs="Times New Roman"/>
          <w:sz w:val="24"/>
          <w:szCs w:val="22"/>
        </w:rPr>
        <w:t xml:space="preserve"> the shifting of </w:t>
      </w:r>
      <w:r w:rsidR="006048BB" w:rsidRPr="006048BB">
        <w:rPr>
          <w:rFonts w:ascii="Times New Roman" w:hAnsi="Times New Roman" w:cs="Times New Roman"/>
          <w:sz w:val="24"/>
          <w:szCs w:val="22"/>
        </w:rPr>
        <w:t>Indian federalism from co-operative to combative</w:t>
      </w:r>
      <w:r w:rsidR="00FC13DB">
        <w:rPr>
          <w:rFonts w:ascii="Times New Roman" w:hAnsi="Times New Roman" w:cs="Times New Roman"/>
          <w:sz w:val="24"/>
          <w:szCs w:val="22"/>
        </w:rPr>
        <w:t xml:space="preserve"> can be done only if</w:t>
      </w:r>
      <w:r w:rsidR="006048BB">
        <w:rPr>
          <w:rFonts w:ascii="Times New Roman" w:hAnsi="Times New Roman" w:cs="Times New Roman"/>
          <w:sz w:val="24"/>
          <w:szCs w:val="22"/>
        </w:rPr>
        <w:t xml:space="preserve"> the Centre and State</w:t>
      </w:r>
      <w:r w:rsidR="00FC13DB">
        <w:rPr>
          <w:rFonts w:ascii="Times New Roman" w:hAnsi="Times New Roman" w:cs="Times New Roman"/>
          <w:sz w:val="24"/>
          <w:szCs w:val="22"/>
        </w:rPr>
        <w:t xml:space="preserve"> ends their power tussle which affects the proper functioning of the Indian government. </w:t>
      </w:r>
    </w:p>
    <w:p w:rsidR="00135E5D" w:rsidRDefault="00135E5D" w:rsidP="00135E5D">
      <w:pPr>
        <w:pStyle w:val="ListParagraph"/>
        <w:numPr>
          <w:ilvl w:val="0"/>
          <w:numId w:val="7"/>
        </w:numPr>
        <w:jc w:val="both"/>
        <w:rPr>
          <w:rFonts w:ascii="Times New Roman" w:hAnsi="Times New Roman" w:cs="Times New Roman"/>
          <w:sz w:val="24"/>
          <w:szCs w:val="22"/>
        </w:rPr>
      </w:pPr>
      <w:r w:rsidRPr="00135E5D">
        <w:rPr>
          <w:rFonts w:ascii="Times New Roman" w:hAnsi="Times New Roman" w:cs="Times New Roman"/>
          <w:sz w:val="24"/>
          <w:szCs w:val="22"/>
        </w:rPr>
        <w:t xml:space="preserve">The proposed amendments to the Indian Administrative Service (IAS) (Cadre) Rules of 1954 have triggered another round of conflict between the Centre and the States. </w:t>
      </w:r>
    </w:p>
    <w:p w:rsidR="00135E5D" w:rsidRDefault="00135E5D" w:rsidP="00135E5D">
      <w:pPr>
        <w:pStyle w:val="ListParagraph"/>
        <w:numPr>
          <w:ilvl w:val="0"/>
          <w:numId w:val="7"/>
        </w:numPr>
        <w:jc w:val="both"/>
        <w:rPr>
          <w:rFonts w:ascii="Times New Roman" w:hAnsi="Times New Roman" w:cs="Times New Roman"/>
          <w:sz w:val="24"/>
          <w:szCs w:val="22"/>
        </w:rPr>
      </w:pPr>
      <w:r w:rsidRPr="00135E5D">
        <w:rPr>
          <w:rFonts w:ascii="Times New Roman" w:hAnsi="Times New Roman" w:cs="Times New Roman"/>
          <w:sz w:val="24"/>
          <w:szCs w:val="22"/>
        </w:rPr>
        <w:lastRenderedPageBreak/>
        <w:t xml:space="preserve">The amendments proposed by the Department of Personnel and Training, Government of India, will take away the liberty of the States to deny consent for handing over civil servants for Central deputation. </w:t>
      </w:r>
    </w:p>
    <w:p w:rsidR="00135E5D" w:rsidRPr="00135E5D" w:rsidRDefault="00135E5D" w:rsidP="00135E5D">
      <w:pPr>
        <w:pStyle w:val="ListParagraph"/>
        <w:numPr>
          <w:ilvl w:val="0"/>
          <w:numId w:val="7"/>
        </w:numPr>
        <w:jc w:val="both"/>
        <w:rPr>
          <w:rFonts w:ascii="Times New Roman" w:hAnsi="Times New Roman" w:cs="Times New Roman"/>
          <w:sz w:val="24"/>
          <w:szCs w:val="22"/>
        </w:rPr>
      </w:pPr>
      <w:r>
        <w:rPr>
          <w:rFonts w:ascii="Times New Roman" w:hAnsi="Times New Roman" w:cs="Times New Roman"/>
          <w:sz w:val="24"/>
          <w:szCs w:val="22"/>
        </w:rPr>
        <w:t>If</w:t>
      </w:r>
      <w:r w:rsidRPr="00135E5D">
        <w:rPr>
          <w:rFonts w:ascii="Times New Roman" w:hAnsi="Times New Roman" w:cs="Times New Roman"/>
          <w:sz w:val="24"/>
          <w:szCs w:val="22"/>
        </w:rPr>
        <w:t xml:space="preserve"> there are differences between the Centre and the States, the Centre’s decision will have to be accepted by the States within a specified time period. Tamil Nadu, Kerala, West Bengal, Jharkhand, Rajasthan, Chhattisgarh and </w:t>
      </w:r>
      <w:proofErr w:type="spellStart"/>
      <w:r w:rsidRPr="00135E5D">
        <w:rPr>
          <w:rFonts w:ascii="Times New Roman" w:hAnsi="Times New Roman" w:cs="Times New Roman"/>
          <w:sz w:val="24"/>
          <w:szCs w:val="22"/>
        </w:rPr>
        <w:t>Telangana</w:t>
      </w:r>
      <w:proofErr w:type="spellEnd"/>
      <w:r w:rsidRPr="00135E5D">
        <w:rPr>
          <w:rFonts w:ascii="Times New Roman" w:hAnsi="Times New Roman" w:cs="Times New Roman"/>
          <w:sz w:val="24"/>
          <w:szCs w:val="22"/>
        </w:rPr>
        <w:t xml:space="preserve"> have obj</w:t>
      </w:r>
      <w:r>
        <w:rPr>
          <w:rFonts w:ascii="Times New Roman" w:hAnsi="Times New Roman" w:cs="Times New Roman"/>
          <w:sz w:val="24"/>
          <w:szCs w:val="22"/>
        </w:rPr>
        <w:t>ected to the amendments</w:t>
      </w:r>
      <w:r w:rsidRPr="00135E5D">
        <w:rPr>
          <w:rFonts w:ascii="Times New Roman" w:hAnsi="Times New Roman" w:cs="Times New Roman"/>
          <w:sz w:val="24"/>
          <w:szCs w:val="22"/>
        </w:rPr>
        <w:t>.</w:t>
      </w:r>
    </w:p>
    <w:p w:rsidR="00135E5D" w:rsidRPr="00135E5D" w:rsidRDefault="00135E5D" w:rsidP="00135E5D">
      <w:pPr>
        <w:jc w:val="both"/>
        <w:rPr>
          <w:rFonts w:ascii="Times New Roman" w:hAnsi="Times New Roman" w:cs="Times New Roman"/>
          <w:sz w:val="24"/>
          <w:szCs w:val="22"/>
        </w:rPr>
      </w:pPr>
      <w:r w:rsidRPr="00135E5D">
        <w:rPr>
          <w:rFonts w:ascii="Times New Roman" w:hAnsi="Times New Roman" w:cs="Times New Roman"/>
          <w:b/>
          <w:bCs/>
          <w:sz w:val="24"/>
          <w:szCs w:val="22"/>
        </w:rPr>
        <w:t>Shifting tides</w:t>
      </w:r>
    </w:p>
    <w:p w:rsid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 xml:space="preserve">The expression ‘combative federalism’ was used by former </w:t>
      </w:r>
      <w:proofErr w:type="spellStart"/>
      <w:r w:rsidRPr="00135E5D">
        <w:rPr>
          <w:rFonts w:ascii="Times New Roman" w:hAnsi="Times New Roman" w:cs="Times New Roman"/>
          <w:sz w:val="24"/>
          <w:szCs w:val="22"/>
        </w:rPr>
        <w:t>Uttarakhand</w:t>
      </w:r>
      <w:proofErr w:type="spellEnd"/>
      <w:r w:rsidRPr="00135E5D">
        <w:rPr>
          <w:rFonts w:ascii="Times New Roman" w:hAnsi="Times New Roman" w:cs="Times New Roman"/>
          <w:sz w:val="24"/>
          <w:szCs w:val="22"/>
        </w:rPr>
        <w:t xml:space="preserve"> Chief Minister Harish </w:t>
      </w:r>
      <w:proofErr w:type="spellStart"/>
      <w:r w:rsidRPr="00135E5D">
        <w:rPr>
          <w:rFonts w:ascii="Times New Roman" w:hAnsi="Times New Roman" w:cs="Times New Roman"/>
          <w:sz w:val="24"/>
          <w:szCs w:val="22"/>
        </w:rPr>
        <w:t>Rawat</w:t>
      </w:r>
      <w:proofErr w:type="spellEnd"/>
      <w:r w:rsidRPr="00135E5D">
        <w:rPr>
          <w:rFonts w:ascii="Times New Roman" w:hAnsi="Times New Roman" w:cs="Times New Roman"/>
          <w:sz w:val="24"/>
          <w:szCs w:val="22"/>
        </w:rPr>
        <w:t xml:space="preserve"> immediately after his government was dismissed under Article 356 of the Constitution by President’s proclamation. </w:t>
      </w:r>
    </w:p>
    <w:p w:rsid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 xml:space="preserve">In 2016, when the Governor of Arunachal Pradesh decided to advance the Assembly elections, which led to political crisis in the State and then President’s Rule, the Supreme Court had to intervene and set right the constitutional crisis by holding that the Governor’s discretion did not extend to the powers conferred under Article 174. </w:t>
      </w:r>
    </w:p>
    <w:p w:rsid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 xml:space="preserve">The Governor cannot not summon the House, determine its legislative agenda or address the legislative Assembly without consulting the Chief Minister or the Speaker, the Court said. </w:t>
      </w:r>
    </w:p>
    <w:p w:rsid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 xml:space="preserve">In Goa, Karnataka and Maharashtra, we saw examples of the Governor acting beyond his constitutional brief by inviting parties and formations which did not have an adequate majority to form the governments. </w:t>
      </w:r>
    </w:p>
    <w:p w:rsidR="00135E5D" w:rsidRP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In Rajasthan, the Governor refused to summon a session as desired by the Council of Ministers. This again brought to light how the Centre interferes in State affairs.</w:t>
      </w:r>
    </w:p>
    <w:p w:rsid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 xml:space="preserve">The Constitution Bench of the Supreme Court held that the power of the Lieutenant-Governor of Delhi to differ from the Delhi government and make reference to the President is only with respect to exceptional matters like land, police and public order. </w:t>
      </w:r>
    </w:p>
    <w:p w:rsidR="00135E5D" w:rsidRPr="00135E5D" w:rsidRDefault="00135E5D" w:rsidP="00135E5D">
      <w:pPr>
        <w:pStyle w:val="ListParagraph"/>
        <w:numPr>
          <w:ilvl w:val="0"/>
          <w:numId w:val="8"/>
        </w:numPr>
        <w:jc w:val="both"/>
        <w:rPr>
          <w:rFonts w:ascii="Times New Roman" w:hAnsi="Times New Roman" w:cs="Times New Roman"/>
          <w:sz w:val="24"/>
          <w:szCs w:val="22"/>
        </w:rPr>
      </w:pPr>
      <w:r w:rsidRPr="00135E5D">
        <w:rPr>
          <w:rFonts w:ascii="Times New Roman" w:hAnsi="Times New Roman" w:cs="Times New Roman"/>
          <w:sz w:val="24"/>
          <w:szCs w:val="22"/>
        </w:rPr>
        <w:t>However, the Supreme Court had to again remind the Delhi government and the Centre in </w:t>
      </w:r>
      <w:proofErr w:type="spellStart"/>
      <w:r w:rsidRPr="00135E5D">
        <w:rPr>
          <w:rFonts w:ascii="Times New Roman" w:hAnsi="Times New Roman" w:cs="Times New Roman"/>
          <w:i/>
          <w:iCs/>
          <w:sz w:val="24"/>
          <w:szCs w:val="22"/>
        </w:rPr>
        <w:t>Ajit</w:t>
      </w:r>
      <w:proofErr w:type="spellEnd"/>
      <w:r w:rsidRPr="00135E5D">
        <w:rPr>
          <w:rFonts w:ascii="Times New Roman" w:hAnsi="Times New Roman" w:cs="Times New Roman"/>
          <w:i/>
          <w:iCs/>
          <w:sz w:val="24"/>
          <w:szCs w:val="22"/>
        </w:rPr>
        <w:t xml:space="preserve"> Mohan v. Legislative Assembly</w:t>
      </w:r>
      <w:r w:rsidRPr="00135E5D">
        <w:rPr>
          <w:rFonts w:ascii="Times New Roman" w:hAnsi="Times New Roman" w:cs="Times New Roman"/>
          <w:sz w:val="24"/>
          <w:szCs w:val="22"/>
        </w:rPr>
        <w:t> , </w:t>
      </w:r>
      <w:r w:rsidRPr="00135E5D">
        <w:rPr>
          <w:rFonts w:ascii="Times New Roman" w:hAnsi="Times New Roman" w:cs="Times New Roman"/>
          <w:i/>
          <w:iCs/>
          <w:sz w:val="24"/>
          <w:szCs w:val="22"/>
        </w:rPr>
        <w:t>National Capital Territory of Delhi &amp; Ors</w:t>
      </w:r>
      <w:r w:rsidRPr="00135E5D">
        <w:rPr>
          <w:rFonts w:ascii="Times New Roman" w:hAnsi="Times New Roman" w:cs="Times New Roman"/>
          <w:sz w:val="24"/>
          <w:szCs w:val="22"/>
        </w:rPr>
        <w:t> (2021) that for the system “to work well, the Central Government and the State Government have to walk hand in hand or at least walk side by side for better governance.”</w:t>
      </w:r>
    </w:p>
    <w:p w:rsidR="00135E5D" w:rsidRPr="00135E5D" w:rsidRDefault="00135E5D" w:rsidP="00135E5D">
      <w:pPr>
        <w:jc w:val="both"/>
        <w:rPr>
          <w:rFonts w:ascii="Times New Roman" w:hAnsi="Times New Roman" w:cs="Times New Roman"/>
          <w:sz w:val="24"/>
          <w:szCs w:val="22"/>
        </w:rPr>
      </w:pPr>
      <w:r w:rsidRPr="00135E5D">
        <w:rPr>
          <w:rFonts w:ascii="Times New Roman" w:hAnsi="Times New Roman" w:cs="Times New Roman"/>
          <w:b/>
          <w:bCs/>
          <w:sz w:val="24"/>
          <w:szCs w:val="22"/>
        </w:rPr>
        <w:t>Overt conflicts</w:t>
      </w:r>
    </w:p>
    <w:p w:rsidR="00135E5D" w:rsidRDefault="00135E5D" w:rsidP="00135E5D">
      <w:pPr>
        <w:pStyle w:val="ListParagraph"/>
        <w:numPr>
          <w:ilvl w:val="0"/>
          <w:numId w:val="9"/>
        </w:numPr>
        <w:jc w:val="both"/>
        <w:rPr>
          <w:rFonts w:ascii="Times New Roman" w:hAnsi="Times New Roman" w:cs="Times New Roman"/>
          <w:sz w:val="24"/>
          <w:szCs w:val="22"/>
        </w:rPr>
      </w:pPr>
      <w:r w:rsidRPr="00135E5D">
        <w:rPr>
          <w:rFonts w:ascii="Times New Roman" w:hAnsi="Times New Roman" w:cs="Times New Roman"/>
          <w:sz w:val="24"/>
          <w:szCs w:val="22"/>
        </w:rPr>
        <w:t xml:space="preserve">The deployment of central investigative agencies in the States, much to the displeasure of the States, has also caused trouble for our federal principles. </w:t>
      </w:r>
    </w:p>
    <w:p w:rsidR="00135E5D" w:rsidRDefault="00135E5D" w:rsidP="00135E5D">
      <w:pPr>
        <w:pStyle w:val="ListParagraph"/>
        <w:numPr>
          <w:ilvl w:val="0"/>
          <w:numId w:val="9"/>
        </w:numPr>
        <w:jc w:val="both"/>
        <w:rPr>
          <w:rFonts w:ascii="Times New Roman" w:hAnsi="Times New Roman" w:cs="Times New Roman"/>
          <w:sz w:val="24"/>
          <w:szCs w:val="22"/>
        </w:rPr>
      </w:pPr>
      <w:r>
        <w:rPr>
          <w:rFonts w:ascii="Times New Roman" w:hAnsi="Times New Roman" w:cs="Times New Roman"/>
          <w:sz w:val="24"/>
          <w:szCs w:val="22"/>
        </w:rPr>
        <w:t>The</w:t>
      </w:r>
      <w:r w:rsidRPr="00135E5D">
        <w:rPr>
          <w:rFonts w:ascii="Times New Roman" w:hAnsi="Times New Roman" w:cs="Times New Roman"/>
          <w:sz w:val="24"/>
          <w:szCs w:val="22"/>
        </w:rPr>
        <w:t xml:space="preserve"> Kerala government decided to take on the Centre by ordering a judicial inquiry against central investigating agencies and their overreach in the State. </w:t>
      </w:r>
    </w:p>
    <w:p w:rsidR="00135E5D" w:rsidRDefault="00135E5D" w:rsidP="00135E5D">
      <w:pPr>
        <w:pStyle w:val="ListParagraph"/>
        <w:numPr>
          <w:ilvl w:val="0"/>
          <w:numId w:val="9"/>
        </w:numPr>
        <w:jc w:val="both"/>
        <w:rPr>
          <w:rFonts w:ascii="Times New Roman" w:hAnsi="Times New Roman" w:cs="Times New Roman"/>
          <w:sz w:val="24"/>
          <w:szCs w:val="22"/>
        </w:rPr>
      </w:pPr>
      <w:r w:rsidRPr="00135E5D">
        <w:rPr>
          <w:rFonts w:ascii="Times New Roman" w:hAnsi="Times New Roman" w:cs="Times New Roman"/>
          <w:sz w:val="24"/>
          <w:szCs w:val="22"/>
        </w:rPr>
        <w:lastRenderedPageBreak/>
        <w:t xml:space="preserve">Kerala also witnessed another controversy surrounding Centre-State conflict when the CBI registered an FIR for alleged infractions of the Foreign Contribution (Regulation) Act. </w:t>
      </w:r>
    </w:p>
    <w:p w:rsidR="00135E5D" w:rsidRPr="00135E5D" w:rsidRDefault="00135E5D" w:rsidP="00135E5D">
      <w:pPr>
        <w:pStyle w:val="ListParagraph"/>
        <w:numPr>
          <w:ilvl w:val="0"/>
          <w:numId w:val="9"/>
        </w:numPr>
        <w:jc w:val="both"/>
        <w:rPr>
          <w:rFonts w:ascii="Times New Roman" w:hAnsi="Times New Roman" w:cs="Times New Roman"/>
          <w:sz w:val="24"/>
          <w:szCs w:val="22"/>
        </w:rPr>
      </w:pPr>
      <w:r w:rsidRPr="00135E5D">
        <w:rPr>
          <w:rFonts w:ascii="Times New Roman" w:hAnsi="Times New Roman" w:cs="Times New Roman"/>
          <w:sz w:val="24"/>
          <w:szCs w:val="22"/>
        </w:rPr>
        <w:t>It said the State government had received foreign contributions from the United Arab Emirates for a housing project. There is no doubt that such investigations, purportedly for political reasons, into the functioning of the State governments have caused considerable dent in the fede</w:t>
      </w:r>
      <w:r>
        <w:rPr>
          <w:rFonts w:ascii="Times New Roman" w:hAnsi="Times New Roman" w:cs="Times New Roman"/>
          <w:sz w:val="24"/>
          <w:szCs w:val="22"/>
        </w:rPr>
        <w:t>ral architecture of the country</w:t>
      </w:r>
      <w:r w:rsidRPr="00135E5D">
        <w:rPr>
          <w:rFonts w:ascii="Times New Roman" w:hAnsi="Times New Roman" w:cs="Times New Roman"/>
          <w:sz w:val="24"/>
          <w:szCs w:val="22"/>
        </w:rPr>
        <w:t>.</w:t>
      </w:r>
    </w:p>
    <w:p w:rsidR="00135E5D" w:rsidRPr="00135E5D" w:rsidRDefault="00135E5D" w:rsidP="00135E5D">
      <w:pPr>
        <w:jc w:val="both"/>
        <w:rPr>
          <w:rFonts w:ascii="Times New Roman" w:hAnsi="Times New Roman" w:cs="Times New Roman"/>
          <w:sz w:val="24"/>
          <w:szCs w:val="22"/>
        </w:rPr>
      </w:pPr>
      <w:r w:rsidRPr="00135E5D">
        <w:rPr>
          <w:rFonts w:ascii="Times New Roman" w:hAnsi="Times New Roman" w:cs="Times New Roman"/>
          <w:b/>
          <w:bCs/>
          <w:sz w:val="24"/>
          <w:szCs w:val="22"/>
        </w:rPr>
        <w:t>Collaborative federalism</w:t>
      </w:r>
    </w:p>
    <w:p w:rsidR="00135E5D" w:rsidRDefault="00135E5D" w:rsidP="00135E5D">
      <w:pPr>
        <w:pStyle w:val="ListParagraph"/>
        <w:numPr>
          <w:ilvl w:val="0"/>
          <w:numId w:val="10"/>
        </w:numPr>
        <w:jc w:val="both"/>
        <w:rPr>
          <w:rFonts w:ascii="Times New Roman" w:hAnsi="Times New Roman" w:cs="Times New Roman"/>
          <w:sz w:val="24"/>
          <w:szCs w:val="22"/>
        </w:rPr>
      </w:pPr>
      <w:r w:rsidRPr="00135E5D">
        <w:rPr>
          <w:rFonts w:ascii="Times New Roman" w:hAnsi="Times New Roman" w:cs="Times New Roman"/>
          <w:sz w:val="24"/>
          <w:szCs w:val="22"/>
        </w:rPr>
        <w:t xml:space="preserve">Combative federalism is anathema to the Constitution which prescribes cooperation and collaboration between the Centre and the States. </w:t>
      </w:r>
    </w:p>
    <w:p w:rsidR="00135E5D" w:rsidRDefault="00135E5D" w:rsidP="00135E5D">
      <w:pPr>
        <w:pStyle w:val="ListParagraph"/>
        <w:numPr>
          <w:ilvl w:val="0"/>
          <w:numId w:val="10"/>
        </w:numPr>
        <w:jc w:val="both"/>
        <w:rPr>
          <w:rFonts w:ascii="Times New Roman" w:hAnsi="Times New Roman" w:cs="Times New Roman"/>
          <w:sz w:val="24"/>
          <w:szCs w:val="22"/>
        </w:rPr>
      </w:pPr>
      <w:r w:rsidRPr="00135E5D">
        <w:rPr>
          <w:rFonts w:ascii="Times New Roman" w:hAnsi="Times New Roman" w:cs="Times New Roman"/>
          <w:sz w:val="24"/>
          <w:szCs w:val="22"/>
        </w:rPr>
        <w:t>The Constitution Bench of the Supreme Court held in </w:t>
      </w:r>
      <w:r w:rsidRPr="00135E5D">
        <w:rPr>
          <w:rFonts w:ascii="Times New Roman" w:hAnsi="Times New Roman" w:cs="Times New Roman"/>
          <w:i/>
          <w:iCs/>
          <w:sz w:val="24"/>
          <w:szCs w:val="22"/>
        </w:rPr>
        <w:t>Government of NCT of Delhi v. Union of India</w:t>
      </w:r>
      <w:r w:rsidRPr="00135E5D">
        <w:rPr>
          <w:rFonts w:ascii="Times New Roman" w:hAnsi="Times New Roman" w:cs="Times New Roman"/>
          <w:sz w:val="24"/>
          <w:szCs w:val="22"/>
        </w:rPr>
        <w:t xml:space="preserve"> (2018) that the idea behind the concept of collaborative federalism is negotiation and coordination so that differences which may arise between the Centre and the State Governments in their respective pursuits of development can be ironed out. </w:t>
      </w:r>
    </w:p>
    <w:p w:rsidR="00135E5D" w:rsidRDefault="00135E5D" w:rsidP="00135E5D">
      <w:pPr>
        <w:pStyle w:val="ListParagraph"/>
        <w:numPr>
          <w:ilvl w:val="0"/>
          <w:numId w:val="10"/>
        </w:numPr>
        <w:jc w:val="both"/>
        <w:rPr>
          <w:rFonts w:ascii="Times New Roman" w:hAnsi="Times New Roman" w:cs="Times New Roman"/>
          <w:sz w:val="24"/>
          <w:szCs w:val="22"/>
        </w:rPr>
      </w:pPr>
      <w:r w:rsidRPr="00135E5D">
        <w:rPr>
          <w:rFonts w:ascii="Times New Roman" w:hAnsi="Times New Roman" w:cs="Times New Roman"/>
          <w:sz w:val="24"/>
          <w:szCs w:val="22"/>
        </w:rPr>
        <w:t xml:space="preserve">The Constituent Assembly, while framing our Constitution, never envisaged a situation where the Central and the State governments would stand in the way of each other. </w:t>
      </w:r>
    </w:p>
    <w:p w:rsidR="00135E5D" w:rsidRPr="00135E5D" w:rsidRDefault="00135E5D" w:rsidP="00135E5D">
      <w:pPr>
        <w:pStyle w:val="ListParagraph"/>
        <w:numPr>
          <w:ilvl w:val="0"/>
          <w:numId w:val="10"/>
        </w:numPr>
        <w:jc w:val="both"/>
        <w:rPr>
          <w:rFonts w:ascii="Times New Roman" w:hAnsi="Times New Roman" w:cs="Times New Roman"/>
          <w:sz w:val="24"/>
          <w:szCs w:val="22"/>
        </w:rPr>
      </w:pPr>
      <w:r w:rsidRPr="00135E5D">
        <w:rPr>
          <w:rFonts w:ascii="Times New Roman" w:hAnsi="Times New Roman" w:cs="Times New Roman"/>
          <w:sz w:val="24"/>
          <w:szCs w:val="22"/>
        </w:rPr>
        <w:t xml:space="preserve">Encroachment by either of the constituent units is strictly prohibited and expressly held abhorrent by the Constitution. </w:t>
      </w:r>
    </w:p>
    <w:p w:rsidR="00135E5D" w:rsidRPr="00135E5D" w:rsidRDefault="00135E5D" w:rsidP="00AD2B64">
      <w:pPr>
        <w:jc w:val="both"/>
        <w:rPr>
          <w:rFonts w:ascii="Times New Roman" w:hAnsi="Times New Roman" w:cs="Times New Roman"/>
          <w:b/>
          <w:bCs/>
          <w:sz w:val="24"/>
          <w:szCs w:val="22"/>
        </w:rPr>
      </w:pPr>
    </w:p>
    <w:p w:rsidR="00AD2B64" w:rsidRPr="00AD2B64" w:rsidRDefault="00AD2B64" w:rsidP="00C32184">
      <w:pPr>
        <w:jc w:val="both"/>
        <w:rPr>
          <w:rFonts w:ascii="Times New Roman" w:hAnsi="Times New Roman" w:cs="Times New Roman"/>
          <w:b/>
          <w:bCs/>
          <w:sz w:val="24"/>
          <w:szCs w:val="22"/>
        </w:rPr>
      </w:pPr>
    </w:p>
    <w:sectPr w:rsidR="00AD2B64" w:rsidRPr="00AD2B64" w:rsidSect="00EC2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024E"/>
    <w:multiLevelType w:val="hybridMultilevel"/>
    <w:tmpl w:val="2B3E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4C1D"/>
    <w:multiLevelType w:val="hybridMultilevel"/>
    <w:tmpl w:val="667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92061"/>
    <w:multiLevelType w:val="hybridMultilevel"/>
    <w:tmpl w:val="79C4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41B85"/>
    <w:multiLevelType w:val="hybridMultilevel"/>
    <w:tmpl w:val="930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35BDF"/>
    <w:multiLevelType w:val="hybridMultilevel"/>
    <w:tmpl w:val="9E2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A626A"/>
    <w:multiLevelType w:val="hybridMultilevel"/>
    <w:tmpl w:val="D4EC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A156B"/>
    <w:multiLevelType w:val="hybridMultilevel"/>
    <w:tmpl w:val="D27C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B168D"/>
    <w:multiLevelType w:val="hybridMultilevel"/>
    <w:tmpl w:val="8D50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35978"/>
    <w:multiLevelType w:val="hybridMultilevel"/>
    <w:tmpl w:val="755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E1062"/>
    <w:multiLevelType w:val="hybridMultilevel"/>
    <w:tmpl w:val="7DB0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
  </w:num>
  <w:num w:numId="6">
    <w:abstractNumId w:val="2"/>
  </w:num>
  <w:num w:numId="7">
    <w:abstractNumId w:val="6"/>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184"/>
    <w:rsid w:val="00135E5D"/>
    <w:rsid w:val="006048BB"/>
    <w:rsid w:val="008A5001"/>
    <w:rsid w:val="00AD2B64"/>
    <w:rsid w:val="00C32184"/>
    <w:rsid w:val="00DF7B76"/>
    <w:rsid w:val="00EC2534"/>
    <w:rsid w:val="00FC13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3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184"/>
    <w:rPr>
      <w:color w:val="0000FF" w:themeColor="hyperlink"/>
      <w:u w:val="single"/>
    </w:rPr>
  </w:style>
  <w:style w:type="paragraph" w:styleId="ListParagraph">
    <w:name w:val="List Paragraph"/>
    <w:basedOn w:val="Normal"/>
    <w:uiPriority w:val="34"/>
    <w:qFormat/>
    <w:rsid w:val="00C32184"/>
    <w:pPr>
      <w:ind w:left="720"/>
      <w:contextualSpacing/>
    </w:pPr>
  </w:style>
</w:styles>
</file>

<file path=word/webSettings.xml><?xml version="1.0" encoding="utf-8"?>
<w:webSettings xmlns:r="http://schemas.openxmlformats.org/officeDocument/2006/relationships" xmlns:w="http://schemas.openxmlformats.org/wordprocessingml/2006/main">
  <w:divs>
    <w:div w:id="429198505">
      <w:bodyDiv w:val="1"/>
      <w:marLeft w:val="0"/>
      <w:marRight w:val="0"/>
      <w:marTop w:val="0"/>
      <w:marBottom w:val="0"/>
      <w:divBdr>
        <w:top w:val="none" w:sz="0" w:space="0" w:color="auto"/>
        <w:left w:val="none" w:sz="0" w:space="0" w:color="auto"/>
        <w:bottom w:val="none" w:sz="0" w:space="0" w:color="auto"/>
        <w:right w:val="none" w:sz="0" w:space="0" w:color="auto"/>
      </w:divBdr>
    </w:div>
    <w:div w:id="663362935">
      <w:bodyDiv w:val="1"/>
      <w:marLeft w:val="0"/>
      <w:marRight w:val="0"/>
      <w:marTop w:val="0"/>
      <w:marBottom w:val="0"/>
      <w:divBdr>
        <w:top w:val="none" w:sz="0" w:space="0" w:color="auto"/>
        <w:left w:val="none" w:sz="0" w:space="0" w:color="auto"/>
        <w:bottom w:val="none" w:sz="0" w:space="0" w:color="auto"/>
        <w:right w:val="none" w:sz="0" w:space="0" w:color="auto"/>
      </w:divBdr>
    </w:div>
    <w:div w:id="714037521">
      <w:bodyDiv w:val="1"/>
      <w:marLeft w:val="0"/>
      <w:marRight w:val="0"/>
      <w:marTop w:val="0"/>
      <w:marBottom w:val="0"/>
      <w:divBdr>
        <w:top w:val="none" w:sz="0" w:space="0" w:color="auto"/>
        <w:left w:val="none" w:sz="0" w:space="0" w:color="auto"/>
        <w:bottom w:val="none" w:sz="0" w:space="0" w:color="auto"/>
        <w:right w:val="none" w:sz="0" w:space="0" w:color="auto"/>
      </w:divBdr>
    </w:div>
    <w:div w:id="736243463">
      <w:bodyDiv w:val="1"/>
      <w:marLeft w:val="0"/>
      <w:marRight w:val="0"/>
      <w:marTop w:val="0"/>
      <w:marBottom w:val="0"/>
      <w:divBdr>
        <w:top w:val="none" w:sz="0" w:space="0" w:color="auto"/>
        <w:left w:val="none" w:sz="0" w:space="0" w:color="auto"/>
        <w:bottom w:val="none" w:sz="0" w:space="0" w:color="auto"/>
        <w:right w:val="none" w:sz="0" w:space="0" w:color="auto"/>
      </w:divBdr>
    </w:div>
    <w:div w:id="778066446">
      <w:bodyDiv w:val="1"/>
      <w:marLeft w:val="0"/>
      <w:marRight w:val="0"/>
      <w:marTop w:val="0"/>
      <w:marBottom w:val="0"/>
      <w:divBdr>
        <w:top w:val="none" w:sz="0" w:space="0" w:color="auto"/>
        <w:left w:val="none" w:sz="0" w:space="0" w:color="auto"/>
        <w:bottom w:val="none" w:sz="0" w:space="0" w:color="auto"/>
        <w:right w:val="none" w:sz="0" w:space="0" w:color="auto"/>
      </w:divBdr>
    </w:div>
    <w:div w:id="1094086231">
      <w:bodyDiv w:val="1"/>
      <w:marLeft w:val="0"/>
      <w:marRight w:val="0"/>
      <w:marTop w:val="0"/>
      <w:marBottom w:val="0"/>
      <w:divBdr>
        <w:top w:val="none" w:sz="0" w:space="0" w:color="auto"/>
        <w:left w:val="none" w:sz="0" w:space="0" w:color="auto"/>
        <w:bottom w:val="none" w:sz="0" w:space="0" w:color="auto"/>
        <w:right w:val="none" w:sz="0" w:space="0" w:color="auto"/>
      </w:divBdr>
    </w:div>
    <w:div w:id="1192181893">
      <w:bodyDiv w:val="1"/>
      <w:marLeft w:val="0"/>
      <w:marRight w:val="0"/>
      <w:marTop w:val="0"/>
      <w:marBottom w:val="0"/>
      <w:divBdr>
        <w:top w:val="none" w:sz="0" w:space="0" w:color="auto"/>
        <w:left w:val="none" w:sz="0" w:space="0" w:color="auto"/>
        <w:bottom w:val="none" w:sz="0" w:space="0" w:color="auto"/>
        <w:right w:val="none" w:sz="0" w:space="0" w:color="auto"/>
      </w:divBdr>
    </w:div>
    <w:div w:id="1205828157">
      <w:bodyDiv w:val="1"/>
      <w:marLeft w:val="0"/>
      <w:marRight w:val="0"/>
      <w:marTop w:val="0"/>
      <w:marBottom w:val="0"/>
      <w:divBdr>
        <w:top w:val="none" w:sz="0" w:space="0" w:color="auto"/>
        <w:left w:val="none" w:sz="0" w:space="0" w:color="auto"/>
        <w:bottom w:val="none" w:sz="0" w:space="0" w:color="auto"/>
        <w:right w:val="none" w:sz="0" w:space="0" w:color="auto"/>
      </w:divBdr>
    </w:div>
    <w:div w:id="1297566092">
      <w:bodyDiv w:val="1"/>
      <w:marLeft w:val="0"/>
      <w:marRight w:val="0"/>
      <w:marTop w:val="0"/>
      <w:marBottom w:val="0"/>
      <w:divBdr>
        <w:top w:val="none" w:sz="0" w:space="0" w:color="auto"/>
        <w:left w:val="none" w:sz="0" w:space="0" w:color="auto"/>
        <w:bottom w:val="none" w:sz="0" w:space="0" w:color="auto"/>
        <w:right w:val="none" w:sz="0" w:space="0" w:color="auto"/>
      </w:divBdr>
    </w:div>
    <w:div w:id="1298224845">
      <w:bodyDiv w:val="1"/>
      <w:marLeft w:val="0"/>
      <w:marRight w:val="0"/>
      <w:marTop w:val="0"/>
      <w:marBottom w:val="0"/>
      <w:divBdr>
        <w:top w:val="none" w:sz="0" w:space="0" w:color="auto"/>
        <w:left w:val="none" w:sz="0" w:space="0" w:color="auto"/>
        <w:bottom w:val="none" w:sz="0" w:space="0" w:color="auto"/>
        <w:right w:val="none" w:sz="0" w:space="0" w:color="auto"/>
      </w:divBdr>
    </w:div>
    <w:div w:id="1330673691">
      <w:bodyDiv w:val="1"/>
      <w:marLeft w:val="0"/>
      <w:marRight w:val="0"/>
      <w:marTop w:val="0"/>
      <w:marBottom w:val="0"/>
      <w:divBdr>
        <w:top w:val="none" w:sz="0" w:space="0" w:color="auto"/>
        <w:left w:val="none" w:sz="0" w:space="0" w:color="auto"/>
        <w:bottom w:val="none" w:sz="0" w:space="0" w:color="auto"/>
        <w:right w:val="none" w:sz="0" w:space="0" w:color="auto"/>
      </w:divBdr>
    </w:div>
    <w:div w:id="1332833895">
      <w:bodyDiv w:val="1"/>
      <w:marLeft w:val="0"/>
      <w:marRight w:val="0"/>
      <w:marTop w:val="0"/>
      <w:marBottom w:val="0"/>
      <w:divBdr>
        <w:top w:val="none" w:sz="0" w:space="0" w:color="auto"/>
        <w:left w:val="none" w:sz="0" w:space="0" w:color="auto"/>
        <w:bottom w:val="none" w:sz="0" w:space="0" w:color="auto"/>
        <w:right w:val="none" w:sz="0" w:space="0" w:color="auto"/>
      </w:divBdr>
    </w:div>
    <w:div w:id="1350259460">
      <w:bodyDiv w:val="1"/>
      <w:marLeft w:val="0"/>
      <w:marRight w:val="0"/>
      <w:marTop w:val="0"/>
      <w:marBottom w:val="0"/>
      <w:divBdr>
        <w:top w:val="none" w:sz="0" w:space="0" w:color="auto"/>
        <w:left w:val="none" w:sz="0" w:space="0" w:color="auto"/>
        <w:bottom w:val="none" w:sz="0" w:space="0" w:color="auto"/>
        <w:right w:val="none" w:sz="0" w:space="0" w:color="auto"/>
      </w:divBdr>
    </w:div>
    <w:div w:id="1405224978">
      <w:bodyDiv w:val="1"/>
      <w:marLeft w:val="0"/>
      <w:marRight w:val="0"/>
      <w:marTop w:val="0"/>
      <w:marBottom w:val="0"/>
      <w:divBdr>
        <w:top w:val="none" w:sz="0" w:space="0" w:color="auto"/>
        <w:left w:val="none" w:sz="0" w:space="0" w:color="auto"/>
        <w:bottom w:val="none" w:sz="0" w:space="0" w:color="auto"/>
        <w:right w:val="none" w:sz="0" w:space="0" w:color="auto"/>
      </w:divBdr>
    </w:div>
    <w:div w:id="1414743513">
      <w:bodyDiv w:val="1"/>
      <w:marLeft w:val="0"/>
      <w:marRight w:val="0"/>
      <w:marTop w:val="0"/>
      <w:marBottom w:val="0"/>
      <w:divBdr>
        <w:top w:val="none" w:sz="0" w:space="0" w:color="auto"/>
        <w:left w:val="none" w:sz="0" w:space="0" w:color="auto"/>
        <w:bottom w:val="none" w:sz="0" w:space="0" w:color="auto"/>
        <w:right w:val="none" w:sz="0" w:space="0" w:color="auto"/>
      </w:divBdr>
    </w:div>
    <w:div w:id="1518620322">
      <w:bodyDiv w:val="1"/>
      <w:marLeft w:val="0"/>
      <w:marRight w:val="0"/>
      <w:marTop w:val="0"/>
      <w:marBottom w:val="0"/>
      <w:divBdr>
        <w:top w:val="none" w:sz="0" w:space="0" w:color="auto"/>
        <w:left w:val="none" w:sz="0" w:space="0" w:color="auto"/>
        <w:bottom w:val="none" w:sz="0" w:space="0" w:color="auto"/>
        <w:right w:val="none" w:sz="0" w:space="0" w:color="auto"/>
      </w:divBdr>
    </w:div>
    <w:div w:id="1589969417">
      <w:bodyDiv w:val="1"/>
      <w:marLeft w:val="0"/>
      <w:marRight w:val="0"/>
      <w:marTop w:val="0"/>
      <w:marBottom w:val="0"/>
      <w:divBdr>
        <w:top w:val="none" w:sz="0" w:space="0" w:color="auto"/>
        <w:left w:val="none" w:sz="0" w:space="0" w:color="auto"/>
        <w:bottom w:val="none" w:sz="0" w:space="0" w:color="auto"/>
        <w:right w:val="none" w:sz="0" w:space="0" w:color="auto"/>
      </w:divBdr>
    </w:div>
    <w:div w:id="1753237262">
      <w:bodyDiv w:val="1"/>
      <w:marLeft w:val="0"/>
      <w:marRight w:val="0"/>
      <w:marTop w:val="0"/>
      <w:marBottom w:val="0"/>
      <w:divBdr>
        <w:top w:val="none" w:sz="0" w:space="0" w:color="auto"/>
        <w:left w:val="none" w:sz="0" w:space="0" w:color="auto"/>
        <w:bottom w:val="none" w:sz="0" w:space="0" w:color="auto"/>
        <w:right w:val="none" w:sz="0" w:space="0" w:color="auto"/>
      </w:divBdr>
    </w:div>
    <w:div w:id="1791511861">
      <w:bodyDiv w:val="1"/>
      <w:marLeft w:val="0"/>
      <w:marRight w:val="0"/>
      <w:marTop w:val="0"/>
      <w:marBottom w:val="0"/>
      <w:divBdr>
        <w:top w:val="none" w:sz="0" w:space="0" w:color="auto"/>
        <w:left w:val="none" w:sz="0" w:space="0" w:color="auto"/>
        <w:bottom w:val="none" w:sz="0" w:space="0" w:color="auto"/>
        <w:right w:val="none" w:sz="0" w:space="0" w:color="auto"/>
      </w:divBdr>
    </w:div>
    <w:div w:id="1864127656">
      <w:bodyDiv w:val="1"/>
      <w:marLeft w:val="0"/>
      <w:marRight w:val="0"/>
      <w:marTop w:val="0"/>
      <w:marBottom w:val="0"/>
      <w:divBdr>
        <w:top w:val="none" w:sz="0" w:space="0" w:color="auto"/>
        <w:left w:val="none" w:sz="0" w:space="0" w:color="auto"/>
        <w:bottom w:val="none" w:sz="0" w:space="0" w:color="auto"/>
        <w:right w:val="none" w:sz="0" w:space="0" w:color="auto"/>
      </w:divBdr>
    </w:div>
    <w:div w:id="2079132141">
      <w:bodyDiv w:val="1"/>
      <w:marLeft w:val="0"/>
      <w:marRight w:val="0"/>
      <w:marTop w:val="0"/>
      <w:marBottom w:val="0"/>
      <w:divBdr>
        <w:top w:val="none" w:sz="0" w:space="0" w:color="auto"/>
        <w:left w:val="none" w:sz="0" w:space="0" w:color="auto"/>
        <w:bottom w:val="none" w:sz="0" w:space="0" w:color="auto"/>
        <w:right w:val="none" w:sz="0" w:space="0" w:color="auto"/>
      </w:divBdr>
    </w:div>
    <w:div w:id="21442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todays-paper/tp-national/qibdet/article65047376.ece/alternates/FREE_660/Restoration-of%C2%A0%2BGAS9GAR9V.3.jpg.jpg" TargetMode="External"/><Relationship Id="rId3" Type="http://schemas.openxmlformats.org/officeDocument/2006/relationships/settings" Target="settings.xml"/><Relationship Id="rId7" Type="http://schemas.openxmlformats.org/officeDocument/2006/relationships/hyperlink" Target="https://cdn.statically.io/img/d.newsweek.com/en/full/611412/north-korean-missile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indu.com/todays-paper/tp-national/j8d0cj/article65047353.ece/alternates/FREE_660/TH13-KDR-SC-exa%2BGRF9GBCKM.1.jpg.jpg" TargetMode="External"/><Relationship Id="rId11" Type="http://schemas.openxmlformats.org/officeDocument/2006/relationships/theme" Target="theme/theme1.xml"/><Relationship Id="rId5" Type="http://schemas.openxmlformats.org/officeDocument/2006/relationships/hyperlink" Target="https://www.bragitoff.com/wp-content/uploads/2015/12/tamil-nadu.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hindu.com/todays-paper/tp-opinion/g1z06l/article65047335.ece/alternates/FREE_660/Combative-feder%2BGLK9GALSU.5.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2022-02-14T05:42:00Z</dcterms:created>
  <dcterms:modified xsi:type="dcterms:W3CDTF">2022-02-14T06:39:00Z</dcterms:modified>
</cp:coreProperties>
</file>